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color w:val="595959"/>
          <w:sz w:val="19"/>
        </w:rPr>
        <w:t>Навчальний приклад. Особи, їхні приватні адреси, номери справ і події прикладу вигадані. Назви та публічні реквізити реальних установ наведено лише для прямо визначених навчальних умов. Демонстраційні ідентифікатори навмисно непридатні для подання. Цей текст не є готовим документом для конкретної справи.</w:t>
      </w:r>
    </w:p>
    <w:p>
      <w:pPr>
        <w:spacing w:after="20"/>
      </w:pPr>
      <w:r>
        <w:rPr>
          <w:color w:val="595959"/>
          <w:sz w:val="19"/>
        </w:rPr>
        <w:t>Заготовка з іменованими полями · Версія 1 · Українською</w:t>
      </w:r>
    </w:p>
    <w:p>
      <w:pPr>
        <w:pStyle w:val="Title"/>
        <w:spacing w:after="360"/>
        <w:pBdr>
          <w:bottom w:val="single" w:sz="4" w:space="6" w:color="8C8C8C"/>
        </w:pBdr>
      </w:pPr>
      <w:r>
        <w:rPr>
          <w:b/>
          <w:sz w:val="21"/>
        </w:rPr>
        <w:t>Заява про поновлення строку адміністративної апеляції після пізнього вручення</w:t>
      </w:r>
    </w:p>
    <w:p>
      <w:pPr>
        <w:spacing w:after="0"/>
        <w:ind w:left="4819"/>
      </w:pPr>
      <w:r>
        <w:rPr>
          <w:b/>
        </w:rPr>
        <w:t xml:space="preserve">До: </w:t>
      </w:r>
      <w:r>
        <w:rPr>
          <w:i/>
          <w:color w:val="595959"/>
        </w:rPr>
        <w:t>[Належний апеляційний адміністративний суд]</w:t>
      </w:r>
      <w:r>
        <w:t>.</w:t>
      </w:r>
    </w:p>
    <w:p>
      <w:pPr>
        <w:spacing w:after="120"/>
        <w:ind w:left="4819"/>
      </w:pPr>
      <w:r>
        <w:rPr>
          <w:b w:val="0"/>
        </w:rPr>
        <w:t xml:space="preserve">Адреса: </w:t>
      </w:r>
      <w:r>
        <w:rPr>
          <w:i/>
          <w:color w:val="595959"/>
        </w:rPr>
        <w:t>[Офіційна адреса апеляційного суду]</w:t>
      </w:r>
      <w:r>
        <w:t>.</w:t>
      </w:r>
    </w:p>
    <w:p>
      <w:pPr>
        <w:spacing w:after="0"/>
        <w:ind w:left="4819"/>
      </w:pPr>
      <w:r>
        <w:rPr>
          <w:b/>
        </w:rPr>
        <w:t xml:space="preserve">Заявник: </w:t>
      </w:r>
      <w:r>
        <w:rPr>
          <w:i/>
          <w:color w:val="595959"/>
        </w:rPr>
        <w:t>[ПІБ заявника та статус у справі]</w:t>
      </w:r>
      <w:r>
        <w:t>.</w:t>
      </w:r>
    </w:p>
    <w:p>
      <w:pPr>
        <w:spacing w:after="0"/>
        <w:ind w:left="4819"/>
      </w:pPr>
      <w:r>
        <w:rPr>
          <w:b w:val="0"/>
        </w:rPr>
        <w:t xml:space="preserve">Адреса: </w:t>
      </w:r>
      <w:r>
        <w:rPr>
          <w:i/>
          <w:color w:val="595959"/>
        </w:rPr>
        <w:t>[Адреса реєстрації і листування з індексом]</w:t>
      </w:r>
      <w:r>
        <w:t>.</w:t>
      </w:r>
    </w:p>
    <w:p>
      <w:pPr>
        <w:spacing w:after="0"/>
        <w:ind w:left="4819"/>
      </w:pPr>
      <w:r>
        <w:rPr>
          <w:b/>
        </w:rPr>
        <w:t xml:space="preserve">Ідентифікаційні відомості: </w:t>
      </w:r>
      <w:r>
        <w:rPr>
          <w:i/>
          <w:color w:val="595959"/>
        </w:rPr>
        <w:t>[РНОКПП або належні паспортні відомості]</w:t>
      </w:r>
      <w:r>
        <w:t>.</w:t>
      </w:r>
    </w:p>
    <w:p>
      <w:pPr>
        <w:spacing w:after="120"/>
        <w:ind w:left="4819"/>
      </w:pPr>
      <w:r>
        <w:rPr>
          <w:b/>
        </w:rPr>
        <w:t xml:space="preserve">Зв’язок і кабінет: </w:t>
      </w:r>
      <w:r>
        <w:rPr>
          <w:i/>
          <w:color w:val="595959"/>
        </w:rPr>
        <w:t>[Телефон, пошта та відомості про кабінет]</w:t>
      </w:r>
      <w:r>
        <w:t>.</w:t>
      </w:r>
    </w:p>
    <w:p>
      <w:pPr>
        <w:spacing w:after="0"/>
        <w:ind w:left="4819"/>
      </w:pPr>
      <w:r>
        <w:rPr>
          <w:b/>
        </w:rPr>
        <w:t xml:space="preserve">Інша сторона: </w:t>
      </w:r>
      <w:r>
        <w:rPr>
          <w:i/>
          <w:color w:val="595959"/>
        </w:rPr>
        <w:t>[Назва й адреса іншої сторони]</w:t>
      </w:r>
      <w:r>
        <w:t>.</w:t>
      </w:r>
    </w:p>
    <w:p>
      <w:pPr>
        <w:spacing w:after="0"/>
        <w:ind w:left="4819"/>
      </w:pPr>
      <w:r>
        <w:rPr>
          <w:b/>
        </w:rPr>
        <w:t xml:space="preserve">Справа: </w:t>
      </w:r>
      <w:r>
        <w:rPr>
          <w:i/>
          <w:color w:val="595959"/>
        </w:rPr>
        <w:t>[Номер справи]</w:t>
      </w:r>
      <w:r>
        <w:t>.</w:t>
      </w:r>
    </w:p>
    <w:p>
      <w:pPr>
        <w:spacing w:after="600"/>
        <w:ind w:left="4819"/>
      </w:pPr>
      <w:r>
        <w:rPr>
          <w:b/>
        </w:rPr>
        <w:t xml:space="preserve">Перша інстанція: </w:t>
      </w:r>
      <w:r>
        <w:rPr>
          <w:i/>
          <w:color w:val="595959"/>
        </w:rPr>
        <w:t>[Суд першої інстанції]</w:t>
      </w:r>
      <w:r>
        <w:t>.</w:t>
      </w:r>
    </w:p>
    <w:p>
      <w:pPr>
        <w:pStyle w:val="Heading1"/>
        <w:keepNext/>
        <w:spacing w:before="120" w:after="200"/>
        <w:jc w:val="center"/>
      </w:pPr>
      <w:r>
        <w:rPr>
          <w:b/>
          <w:caps/>
          <w:sz w:val="25"/>
          <w:spacing w:val="12"/>
        </w:rPr>
        <w:t>Заява про поновлення строку на апеляційне оскарження рішення</w:t>
      </w:r>
    </w:p>
    <w:p>
      <w:pPr>
        <w:ind w:firstLine="709"/>
        <w:jc w:val="both"/>
      </w:pPr>
      <w:r>
        <w:rPr>
          <w:b/>
        </w:rPr>
        <w:t xml:space="preserve">Оскаржую: </w:t>
      </w:r>
      <w:r>
        <w:rPr>
          <w:i/>
          <w:color w:val="595959"/>
        </w:rPr>
        <w:t>[Акт і дата складення повного тексту]</w:t>
      </w:r>
      <w:r>
        <w:t xml:space="preserve">. Цю заяву подаю одночасно з апеляційною скаргою </w:t>
      </w:r>
      <w:r>
        <w:rPr>
          <w:i/>
          <w:color w:val="595959"/>
        </w:rPr>
        <w:t>[Дата одночасного подання апеляції і цієї заяви]</w:t>
      </w:r>
      <w:r>
        <w:t xml:space="preserve"> безпосередньо до належного апеляційного адміністративного суду.</w:t>
      </w:r>
    </w:p>
    <w:p>
      <w:pPr>
        <w:ind w:firstLine="709"/>
        <w:jc w:val="both"/>
      </w:pPr>
      <w:r>
        <w:rPr>
          <w:b/>
        </w:rPr>
        <w:t xml:space="preserve">Повне рішення отримала: </w:t>
      </w:r>
      <w:r>
        <w:rPr>
          <w:i/>
          <w:color w:val="595959"/>
        </w:rPr>
        <w:t>[Коли і як уперше вручено повне рішення]</w:t>
      </w:r>
      <w:r>
        <w:t xml:space="preserve">. </w:t>
      </w:r>
      <w:r>
        <w:rPr>
          <w:b/>
        </w:rPr>
        <w:t xml:space="preserve">Підтвердження: </w:t>
      </w:r>
      <w:r>
        <w:rPr>
          <w:i/>
          <w:color w:val="595959"/>
        </w:rPr>
        <w:t>[Доказ вручення і відомості про попередню доставку]</w:t>
      </w:r>
      <w:r>
        <w:t>. Участі через представника не брала; електронного кабінету не маю. Вручення іншій уповноваженій особі раніше зазначеної дати за умовами справи не відбулося.</w:t>
      </w:r>
    </w:p>
    <w:p>
      <w:pPr>
        <w:ind w:firstLine="709"/>
        <w:jc w:val="both"/>
      </w:pPr>
      <w:r>
        <w:rPr>
          <w:b/>
        </w:rPr>
        <w:t xml:space="preserve">Календар: </w:t>
      </w:r>
      <w:r>
        <w:rPr>
          <w:i/>
          <w:color w:val="595959"/>
        </w:rPr>
        <w:t>[Перевірений календар загального строку і вікна поновлення]</w:t>
      </w:r>
      <w:r>
        <w:t>. Дата пізнього вручення не замінює базової дати початку загального строку.</w:t>
      </w:r>
    </w:p>
    <w:p>
      <w:pPr>
        <w:ind w:firstLine="709"/>
        <w:jc w:val="both"/>
      </w:pPr>
      <w:r>
        <w:t>Відповідно до пункту 1 частини другої статті 295 КАС України учасник, якому повне рішення не вручено у день проголошення або складення, має право на поновлення пропущеного строку за умови подання апеляції протягом тридцяти днів з дня вручення. Прошу застосувати саме цю підставу, а не вважати загальний строк автоматично перезапущеним. Правила обчислення та поновлення строків визначають також статті 120–121 КАС України.</w:t>
      </w:r>
    </w:p>
    <w:p>
      <w:pPr>
        <w:ind w:firstLine="709"/>
        <w:jc w:val="both"/>
      </w:pPr>
      <w:r>
        <w:t>Справа за навчальними умовами не належить до термінових категорій зі спеціальним строком. Я не є прокурором або суб’єктом владних повноважень. Докази вручення додаю; справжніх поштових документів у публічному навчальному прикладі не відтворено.</w:t>
      </w:r>
    </w:p>
    <w:p>
      <w:pPr>
        <w:pStyle w:val="Heading2"/>
        <w:keepNext/>
        <w:spacing w:before="240" w:after="60"/>
        <w:jc w:val="center"/>
      </w:pPr>
      <w:r>
        <w:rPr>
          <w:b/>
          <w:caps/>
          <w:sz w:val="24"/>
          <w:spacing w:val="8"/>
        </w:rPr>
        <w:t>Прошу</w:t>
      </w:r>
    </w:p>
    <w:p>
      <w:pPr>
        <w:tabs>
          <w:tab w:pos="397" w:val="left"/>
        </w:tabs>
        <w:ind w:left="397" w:hanging="397"/>
        <w:jc w:val="both"/>
      </w:pPr>
      <w:r>
        <w:t>1.</w:t>
        <w:tab/>
      </w:r>
      <w:r>
        <w:t xml:space="preserve">Поновити мені строк на апеляційне оскарження рішення суду першої інстанції у справі </w:t>
      </w:r>
      <w:r>
        <w:rPr>
          <w:i/>
          <w:color w:val="595959"/>
        </w:rPr>
        <w:t>[Номер справи]</w:t>
      </w:r>
      <w:r>
        <w:t xml:space="preserve">, повний текст якого складено </w:t>
      </w:r>
      <w:r>
        <w:rPr>
          <w:i/>
          <w:color w:val="595959"/>
        </w:rPr>
        <w:t>[Дата складення повного тексту рішення]</w:t>
      </w:r>
      <w:r>
        <w:t xml:space="preserve">, у зв’язку з його першим належним врученням </w:t>
      </w:r>
      <w:r>
        <w:rPr>
          <w:i/>
          <w:color w:val="595959"/>
        </w:rPr>
        <w:t>[Дата першого належного вручення повного рішення]</w:t>
      </w:r>
      <w:r>
        <w:t xml:space="preserve"> та поданням апеляційної скарги </w:t>
      </w:r>
      <w:r>
        <w:rPr>
          <w:i/>
          <w:color w:val="595959"/>
        </w:rPr>
        <w:t>[Дата одночасного подання апеляції і цієї заяви]</w:t>
      </w:r>
      <w:r>
        <w:t xml:space="preserve"> в межах тридцяти днів після вручення.</w:t>
      </w:r>
    </w:p>
    <w:p>
      <w:pPr>
        <w:keepNext/>
        <w:spacing w:before="120" w:after="40"/>
        <w:ind w:firstLine="0"/>
        <w:jc w:val="left"/>
      </w:pPr>
      <w:r>
        <w:rPr>
          <w:b/>
        </w:rPr>
        <w:t>Додатки:</w:t>
      </w:r>
    </w:p>
    <w:p>
      <w:pPr>
        <w:keepNext/>
        <w:tabs>
          <w:tab w:pos="397" w:val="left"/>
        </w:tabs>
        <w:ind w:left="397" w:hanging="397"/>
        <w:jc w:val="both"/>
      </w:pPr>
      <w:r>
        <w:t>1.</w:t>
        <w:tab/>
      </w:r>
      <w:r>
        <w:t>Копія повного оскаржуваного рішення — за переліком додатків до апеляційної скарги.</w:t>
      </w:r>
    </w:p>
    <w:p>
      <w:pPr>
        <w:keepNext/>
        <w:tabs>
          <w:tab w:pos="397" w:val="left"/>
        </w:tabs>
        <w:ind w:left="397" w:hanging="397"/>
        <w:jc w:val="both"/>
      </w:pPr>
      <w:r>
        <w:t>2.</w:t>
        <w:tab/>
      </w:r>
      <w:r>
        <w:t xml:space="preserve">Копії повідомлення про вручення </w:t>
      </w:r>
      <w:r>
        <w:rPr>
          <w:i/>
          <w:color w:val="595959"/>
        </w:rPr>
        <w:t>[Дата першого належного вручення повного рішення]</w:t>
      </w:r>
      <w:r>
        <w:t xml:space="preserve"> і конверта; відповідні оригінали є у заявника. У навчальному прикладі ці докази лише описані.</w:t>
      </w:r>
    </w:p>
    <w:p>
      <w:pPr>
        <w:keepNext/>
        <w:tabs>
          <w:tab w:pos="397" w:val="left"/>
        </w:tabs>
        <w:ind w:left="397" w:hanging="397"/>
        <w:jc w:val="both"/>
      </w:pPr>
      <w:r>
        <w:t>3.</w:t>
        <w:tab/>
      </w:r>
      <w:r>
        <w:t>Копія цієї заяви з додатками для єдиного іншого учасника в паперовому апеляційному пакеті. Саму апеляцію, документ про її судовий збір або пільгу та решту обов’язкових додатків перевіряють окремо.</w:t>
      </w:r>
    </w:p>
    <w:p>
      <w:pPr>
        <w:keepNext/>
        <w:ind w:firstLine="709"/>
        <w:jc w:val="both"/>
      </w:pPr>
      <w:r>
        <w:rPr>
          <w:b/>
        </w:rPr>
        <w:t xml:space="preserve">Дата: </w:t>
      </w:r>
      <w:r>
        <w:rPr>
          <w:i/>
          <w:color w:val="595959"/>
        </w:rPr>
        <w:t>[Дата одночасного подання апеляції і цієї заяви]</w:t>
      </w:r>
      <w:r>
        <w:t xml:space="preserve">. </w:t>
      </w:r>
      <w:r>
        <w:rPr>
          <w:b/>
        </w:rPr>
        <w:t xml:space="preserve">Підпис: </w:t>
      </w:r>
      <w:r>
        <w:rPr>
          <w:i/>
          <w:color w:val="595959"/>
        </w:rPr>
        <w:t>[Особистий підпис заявника]</w:t>
      </w:r>
      <w:r>
        <w:t>.</w:t>
      </w:r>
    </w:p>
    <w:p>
      <w:pPr>
        <w:spacing w:before="360"/>
      </w:pPr>
      <w:r>
        <w:rPr>
          <w:color w:val="595959"/>
          <w:sz w:val="18"/>
        </w:rPr>
        <w:t xml:space="preserve">Пояснення та межі застосування: </w:t>
      </w:r>
      <w:hyperlink r:id="rId10">
        <w:r>
          <w:rPr>
            <w:sz w:val="18"/>
          </w:rPr>
          <w:t>https://yuryst-kyiv.com/guides/yak-podaty-apeliatsiinu-skarhu-v-administratyvnii-spravi</w:t>
        </w:r>
      </w:hyperlink>
    </w:p>
    <w:sectPr w:rsidR="00FC693F" w:rsidRPr="0006063C" w:rsidSect="00034616">
      <w:footerReference w:type="default" r:id="rId9"/>
      <w:pgSz w:w="11906" w:h="16838"/>
      <w:pgMar w:top="1020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9" w:lineRule="auto"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0" w:after="0"/>
      <w:outlineLvl w:val="0"/>
    </w:pPr>
    <w:rPr>
      <w:rFonts w:ascii="Liberation Serif" w:hAnsi="Liberation Serif" w:eastAsia="Liberation Serif" w:cs="Liberation Serif"/>
      <w:b/>
      <w:bCs/>
      <w:color w:val="000000"/>
      <w:sz w:val="23"/>
      <w:szCs w:val="28"/>
      <w:lang w:val="uk-U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0" w:after="0"/>
      <w:outlineLvl w:val="1"/>
    </w:pPr>
    <w:rPr>
      <w:rFonts w:ascii="Liberation Serif" w:hAnsi="Liberation Serif" w:eastAsia="Liberation Serif" w:cs="Liberation Serif"/>
      <w:b/>
      <w:bCs/>
      <w:color w:val="000000"/>
      <w:sz w:val="23"/>
      <w:szCs w:val="26"/>
      <w:lang w:val="uk-U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0" w:line="240" w:lineRule="auto" w:before="0"/>
      <w:contextualSpacing/>
    </w:pPr>
    <w:rPr>
      <w:rFonts w:ascii="Liberation Serif" w:hAnsi="Liberation Serif" w:eastAsia="Liberation Serif" w:cs="Liberation Serif"/>
      <w:color w:val="000000"/>
      <w:spacing w:val="5"/>
      <w:kern w:val="28"/>
      <w:sz w:val="23"/>
      <w:szCs w:val="52"/>
      <w:lang w:val="uk-UA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spacing w:before="0" w:after="0"/>
      <w:contextualSpacing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/>
      <w:widowControl/>
      <w:spacing w:line="240" w:lineRule="auto" w:before="0" w:after="0"/>
    </w:pPr>
    <w:rPr>
      <w:rFonts w:ascii="Liberation Serif" w:hAnsi="Liberation Serif" w:eastAsia="Liberation Serif" w:cs="Liberation Serif"/>
      <w:b/>
      <w:bCs/>
      <w:color w:val="000000"/>
      <w:sz w:val="23"/>
      <w:szCs w:val="18"/>
      <w:lang w:val="uk-UA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yuryst-kyiv.com/guides/yak-podaty-apeliatsiinu-skarhu-v-administratyvnii-sp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Заява про поновлення строку адміністративної апеляції після пізнього вручення</dc:title>
  <dc:subject>Educational legal document; not individualized advice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uk-UA</dc:language>
</cp:coreProperties>
</file>