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color w:val="595959"/>
          <w:sz w:val="19"/>
        </w:rPr>
        <w:t>Навчальний приклад. Особи, їхні приватні адреси, номери справ і події прикладу вигадані. Назви та публічні реквізити реальних установ наведено лише для прямо визначених навчальних умов. Демонстраційні ідентифікатори непридатні для подання. Справжні квитанції, банківські та судові документи не імітуються.</w:t>
      </w:r>
    </w:p>
    <w:p>
      <w:pPr>
        <w:spacing w:after="20"/>
      </w:pPr>
      <w:r>
        <w:rPr>
          <w:color w:val="595959"/>
          <w:sz w:val="19"/>
        </w:rPr>
        <w:t>Заготовка з іменованими полями · Версія 6 · Українською</w:t>
      </w:r>
    </w:p>
    <w:p>
      <w:pPr>
        <w:pStyle w:val="Title"/>
        <w:spacing w:after="360"/>
        <w:pBdr>
          <w:bottom w:val="single" w:sz="4" w:space="6" w:color="8C8C8C"/>
        </w:pBdr>
      </w:pPr>
      <w:r>
        <w:rPr>
          <w:b/>
          <w:sz w:val="21"/>
        </w:rPr>
        <w:t>Апеляційна скарга: доведене часткове повернення позики не враховано</w:t>
      </w:r>
    </w:p>
    <w:p>
      <w:pPr>
        <w:spacing w:after="120"/>
        <w:ind w:left="4819"/>
      </w:pPr>
      <w:r>
        <w:rPr>
          <w:i/>
          <w:color w:val="595959"/>
        </w:rPr>
        <w:t>[Належний апеляційний суд]</w:t>
      </w:r>
      <w:r>
        <w:t xml:space="preserve">. Справа </w:t>
      </w:r>
      <w:r>
        <w:rPr>
          <w:i/>
          <w:color w:val="595959"/>
        </w:rPr>
        <w:t>[Номер справи]</w:t>
      </w:r>
      <w:r>
        <w:t xml:space="preserve">; суд першої інстанції: </w:t>
      </w:r>
      <w:r>
        <w:rPr>
          <w:i/>
          <w:color w:val="595959"/>
        </w:rPr>
        <w:t>[Повна назва належного суду]</w:t>
      </w:r>
      <w:r>
        <w:t>.</w:t>
      </w:r>
    </w:p>
    <w:p>
      <w:pPr>
        <w:spacing w:after="0"/>
        <w:ind w:left="4819"/>
      </w:pPr>
      <w:r>
        <w:rPr>
          <w:b/>
        </w:rPr>
        <w:t xml:space="preserve">Апелянт — відповідач: </w:t>
      </w:r>
      <w:r>
        <w:rPr>
          <w:i/>
          <w:color w:val="595959"/>
        </w:rPr>
        <w:t>[ПІБ заявника]</w:t>
      </w:r>
      <w:r>
        <w:t>.</w:t>
      </w:r>
    </w:p>
    <w:p>
      <w:pPr>
        <w:spacing w:after="0"/>
        <w:ind w:left="4819"/>
      </w:pPr>
      <w:r>
        <w:rPr>
          <w:b w:val="0"/>
        </w:rPr>
        <w:t xml:space="preserve">Адреса та індекс: </w:t>
      </w:r>
      <w:r>
        <w:rPr>
          <w:i/>
          <w:color w:val="595959"/>
        </w:rPr>
        <w:t>[Повна адреса та поштовий індекс заявника]</w:t>
      </w:r>
      <w:r>
        <w:t>.</w:t>
      </w:r>
    </w:p>
    <w:p>
      <w:pPr>
        <w:spacing w:after="0"/>
        <w:ind w:left="4819"/>
      </w:pPr>
      <w:r>
        <w:rPr>
          <w:b/>
        </w:rPr>
        <w:t xml:space="preserve">Ідентифікатор: </w:t>
      </w:r>
      <w:r>
        <w:rPr>
          <w:i/>
          <w:color w:val="595959"/>
        </w:rPr>
        <w:t>[РНОКПП або належні паспортні відомості заявника]</w:t>
      </w:r>
      <w:r>
        <w:t>.</w:t>
      </w:r>
    </w:p>
    <w:p>
      <w:pPr>
        <w:spacing w:after="120"/>
        <w:ind w:left="4819"/>
      </w:pPr>
      <w:r>
        <w:rPr>
          <w:b/>
        </w:rPr>
        <w:t xml:space="preserve">Контакти: </w:t>
      </w:r>
      <w:r>
        <w:rPr>
          <w:i/>
          <w:color w:val="595959"/>
        </w:rPr>
        <w:t>[Телефон та електронна пошта заявника]</w:t>
      </w:r>
      <w:r>
        <w:t xml:space="preserve">. </w:t>
      </w:r>
      <w:r>
        <w:rPr>
          <w:i/>
          <w:color w:val="595959"/>
        </w:rPr>
        <w:t>[Електронний кабінет заявника]</w:t>
      </w:r>
      <w:r>
        <w:t>.</w:t>
      </w:r>
    </w:p>
    <w:p>
      <w:pPr>
        <w:spacing w:after="0"/>
        <w:ind w:left="4819"/>
      </w:pPr>
      <w:r>
        <w:rPr>
          <w:b/>
        </w:rPr>
        <w:t xml:space="preserve">Інший учасник — позивач: </w:t>
      </w:r>
      <w:r>
        <w:rPr>
          <w:i/>
          <w:color w:val="595959"/>
        </w:rPr>
        <w:t>[ПІБ іншої сторони]</w:t>
      </w:r>
      <w:r>
        <w:t>.</w:t>
      </w:r>
    </w:p>
    <w:p>
      <w:pPr>
        <w:spacing w:after="0"/>
        <w:ind w:left="4819"/>
      </w:pPr>
      <w:r>
        <w:rPr>
          <w:b w:val="0"/>
        </w:rPr>
        <w:t xml:space="preserve">Адреса: </w:t>
      </w:r>
      <w:r>
        <w:rPr>
          <w:i/>
          <w:color w:val="595959"/>
        </w:rPr>
        <w:t>[Повна адреса та індекс іншої сторони]</w:t>
      </w:r>
      <w:r>
        <w:t>.</w:t>
      </w:r>
    </w:p>
    <w:p>
      <w:pPr>
        <w:spacing w:after="0"/>
        <w:ind w:left="4819"/>
      </w:pPr>
      <w:r>
        <w:rPr>
          <w:b/>
        </w:rPr>
        <w:t xml:space="preserve">Ідентифікатор: </w:t>
      </w:r>
      <w:r>
        <w:rPr>
          <w:i/>
          <w:color w:val="595959"/>
        </w:rPr>
        <w:t>[Відомі ідентифікаційні відомості іншої сторони]</w:t>
      </w:r>
      <w:r>
        <w:t>.</w:t>
      </w:r>
    </w:p>
    <w:p>
      <w:pPr>
        <w:spacing w:after="600"/>
        <w:ind w:left="4819"/>
      </w:pPr>
      <w:r>
        <w:rPr>
          <w:b/>
        </w:rPr>
        <w:t xml:space="preserve">Контакти: </w:t>
      </w:r>
      <w:r>
        <w:rPr>
          <w:i/>
          <w:color w:val="595959"/>
        </w:rPr>
        <w:t>[Відомі контакти іншої сторони]</w:t>
      </w:r>
      <w:r>
        <w:t xml:space="preserve">. </w:t>
      </w:r>
      <w:r>
        <w:rPr>
          <w:i/>
          <w:color w:val="595959"/>
        </w:rPr>
        <w:t>[Відомості про електронний кабінет іншої сторони]</w:t>
      </w:r>
      <w:r>
        <w:t>.</w:t>
      </w:r>
    </w:p>
    <w:p>
      <w:pPr>
        <w:pStyle w:val="Heading1"/>
        <w:keepNext/>
        <w:spacing w:before="120" w:after="200"/>
        <w:jc w:val="center"/>
      </w:pPr>
      <w:r>
        <w:rPr>
          <w:b/>
          <w:caps/>
          <w:sz w:val="25"/>
          <w:spacing w:val="12"/>
        </w:rPr>
        <w:t>АПЕЛЯЦІЙНА СКАРГА на рішення в частині стягнення повернутої суми позики</w:t>
      </w:r>
    </w:p>
    <w:p>
      <w:pPr>
        <w:ind w:firstLine="709"/>
        <w:jc w:val="both"/>
      </w:pPr>
      <w:r>
        <w:t xml:space="preserve">Оскаржую рішення від </w:t>
      </w:r>
      <w:r>
        <w:rPr>
          <w:i/>
          <w:color w:val="595959"/>
        </w:rPr>
        <w:t>[Дата рішення та складення повного тексту]</w:t>
      </w:r>
      <w:r>
        <w:t xml:space="preserve">, яким на користь позивача стягнуто </w:t>
      </w:r>
      <w:r>
        <w:rPr>
          <w:i/>
          <w:color w:val="595959"/>
        </w:rPr>
        <w:t>[Стягнута за рішенням основна сума, грн]</w:t>
      </w:r>
      <w:r>
        <w:t xml:space="preserve"> грн основної суми позики. Оскаржувана частина — </w:t>
      </w:r>
      <w:r>
        <w:rPr>
          <w:i/>
          <w:color w:val="595959"/>
        </w:rPr>
        <w:t>[Неврахована повернута сума, грн]</w:t>
      </w:r>
      <w:r>
        <w:t xml:space="preserve"> грн, які повернуто раніше. Існування решти основного зобов’язання цією скаргою не заперечую.</w:t>
      </w:r>
    </w:p>
    <w:p>
      <w:pPr>
        <w:ind w:firstLine="709"/>
        <w:jc w:val="both"/>
      </w:pPr>
      <w:r>
        <w:t xml:space="preserve">Повне рішення вручено </w:t>
      </w:r>
      <w:r>
        <w:rPr>
          <w:i/>
          <w:color w:val="595959"/>
        </w:rPr>
        <w:t>[Дата вручення повного рішення]</w:t>
      </w:r>
      <w:r>
        <w:t xml:space="preserve">; доказ: </w:t>
      </w:r>
      <w:r>
        <w:rPr>
          <w:i/>
          <w:color w:val="595959"/>
        </w:rPr>
        <w:t>[Доказ вручення рішення]</w:t>
      </w:r>
      <w:r>
        <w:t xml:space="preserve">. Скаргу подаю </w:t>
      </w:r>
      <w:r>
        <w:rPr>
          <w:i/>
          <w:color w:val="595959"/>
        </w:rPr>
        <w:t>[Дата подання апеляції]</w:t>
      </w:r>
      <w:r>
        <w:t>, у межах строку для оскарження рішення за статтею 354 ЦПК України. Поновлення строку не прошу.</w:t>
      </w:r>
    </w:p>
    <w:p>
      <w:pPr>
        <w:pStyle w:val="Heading2"/>
        <w:keepNext/>
        <w:spacing w:before="240" w:after="60"/>
        <w:jc w:val="left"/>
      </w:pPr>
      <w:r>
        <w:rPr>
          <w:b/>
          <w:sz w:val="24"/>
        </w:rPr>
        <w:t>Обставини та конкретна помилка</w:t>
      </w:r>
    </w:p>
    <w:p>
      <w:pPr>
        <w:ind w:firstLine="709"/>
        <w:jc w:val="both"/>
      </w:pPr>
      <w:r>
        <w:rPr>
          <w:i/>
          <w:color w:val="595959"/>
        </w:rPr>
        <w:t>[Дата зарахування часткового платежу]</w:t>
      </w:r>
      <w:r>
        <w:t xml:space="preserve"> позивачу фактично повернуто </w:t>
      </w:r>
      <w:r>
        <w:rPr>
          <w:i/>
          <w:color w:val="595959"/>
        </w:rPr>
        <w:t>[Неврахована повернута сума, грн]</w:t>
      </w:r>
      <w:r>
        <w:t xml:space="preserve"> грн. </w:t>
      </w:r>
      <w:r>
        <w:rPr>
          <w:b/>
        </w:rPr>
        <w:t xml:space="preserve">Доказ: </w:t>
      </w:r>
      <w:r>
        <w:rPr>
          <w:i/>
          <w:color w:val="595959"/>
        </w:rPr>
        <w:t>[Точний доказ зарахування та його місце у справі]</w:t>
      </w:r>
      <w:r>
        <w:t xml:space="preserve">. Його подано з відзивом </w:t>
      </w:r>
      <w:r>
        <w:rPr>
          <w:i/>
          <w:color w:val="595959"/>
        </w:rPr>
        <w:t>[Дата своєчасного подання відзиву з доказом]</w:t>
      </w:r>
      <w:r>
        <w:t xml:space="preserve"> у встановлений судом строк. Отже, це не новий доказ для апеляційної інстанції.</w:t>
      </w:r>
    </w:p>
    <w:p>
      <w:pPr>
        <w:ind w:firstLine="709"/>
        <w:jc w:val="both"/>
      </w:pPr>
      <w:r>
        <w:rPr>
          <w:b/>
        </w:rPr>
        <w:t xml:space="preserve">Оскаржуваний висновок: </w:t>
      </w:r>
      <w:r>
        <w:rPr>
          <w:i/>
          <w:color w:val="595959"/>
        </w:rPr>
        <w:t>[Конкретний помилковий висновок рішення]</w:t>
      </w:r>
      <w:r>
        <w:t>. Він не відповідає наведеному матеріалу справи. Рішення не містить належної оцінки цього підтвердження зарахування платежу. За статтею 599 ЦК України виконане зобов’язання припиняється у відповідній частині; повторне стягнення вже повернутої суми неправильно визначає залишок боргу.</w:t>
      </w:r>
    </w:p>
    <w:p>
      <w:pPr>
        <w:pStyle w:val="Caption"/>
        <w:spacing w:before="120"/>
        <w:jc w:val="center"/>
      </w:pPr>
      <w:r>
        <w:rPr>
          <w:b w:val="0"/>
          <w:i/>
          <w:sz w:val="21"/>
        </w:rPr>
        <w:t>Вплив помилки на основну суму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6A6A6"/>
          <w:left w:val="single" w:sz="4" w:color="A6A6A6"/>
          <w:bottom w:val="single" w:sz="4" w:color="A6A6A6"/>
          <w:right w:val="single" w:sz="4" w:color="A6A6A6"/>
          <w:insideH w:val="single" w:sz="4" w:color="A6A6A6"/>
          <w:insideV w:val="single" w:sz="4" w:color="A6A6A6"/>
        </w:tblBorders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vAlign w:val="top"/>
          </w:tcPr>
          <w:p>
            <w:pPr>
              <w:spacing w:before="80" w:after="80"/>
            </w:pPr>
            <w:r>
              <w:rPr>
                <w:b/>
                <w:sz w:val="21"/>
              </w:rPr>
              <w:t>Показник</w:t>
            </w:r>
          </w:p>
        </w:tc>
        <w:tc>
          <w:tcPr>
            <w:tcW w:type="dxa" w:w="4819"/>
            <w:vAlign w:val="top"/>
          </w:tcPr>
          <w:p>
            <w:pPr>
              <w:spacing w:before="80" w:after="80"/>
            </w:pPr>
            <w:r>
              <w:rPr>
                <w:b/>
                <w:sz w:val="21"/>
              </w:rPr>
              <w:t>Сума, грн</w:t>
            </w:r>
          </w:p>
        </w:tc>
      </w:tr>
      <w:tr>
        <w:trPr>
          <w:cantSplit/>
        </w:trPr>
        <w:tc>
          <w:tcPr>
            <w:tcW w:type="dxa" w:w="4819"/>
            <w:vAlign w:val="top"/>
          </w:tcPr>
          <w:p>
            <w:pPr>
              <w:spacing w:before="80" w:after="80"/>
            </w:pPr>
            <w:r>
              <w:rPr>
                <w:sz w:val="21"/>
              </w:rPr>
              <w:t>Сума за рішенням</w:t>
            </w:r>
          </w:p>
        </w:tc>
        <w:tc>
          <w:tcPr>
            <w:tcW w:type="dxa" w:w="4819"/>
            <w:vAlign w:val="top"/>
          </w:tcPr>
          <w:p>
            <w:pPr>
              <w:spacing w:before="80" w:after="80"/>
            </w:pPr>
            <w:r>
              <w:rPr>
                <w:i/>
                <w:color w:val="595959"/>
                <w:sz w:val="21"/>
              </w:rPr>
              <w:t>[Стягнута за рішенням основна сума, грн]</w:t>
            </w:r>
          </w:p>
        </w:tc>
      </w:tr>
      <w:tr>
        <w:trPr>
          <w:cantSplit/>
        </w:trPr>
        <w:tc>
          <w:tcPr>
            <w:tcW w:type="dxa" w:w="4819"/>
            <w:vAlign w:val="top"/>
          </w:tcPr>
          <w:p>
            <w:pPr>
              <w:spacing w:before="80" w:after="80"/>
            </w:pPr>
            <w:r>
              <w:rPr>
                <w:sz w:val="21"/>
              </w:rPr>
              <w:t>Доведене повернення, не враховане судом</w:t>
            </w:r>
          </w:p>
        </w:tc>
        <w:tc>
          <w:tcPr>
            <w:tcW w:type="dxa" w:w="4819"/>
            <w:vAlign w:val="top"/>
          </w:tcPr>
          <w:p>
            <w:pPr>
              <w:spacing w:before="80" w:after="80"/>
            </w:pPr>
            <w:r>
              <w:rPr>
                <w:i/>
                <w:color w:val="595959"/>
                <w:sz w:val="21"/>
              </w:rPr>
              <w:t>[Неврахована повернута сума, грн]</w:t>
            </w:r>
          </w:p>
        </w:tc>
      </w:tr>
      <w:tr>
        <w:trPr>
          <w:cantSplit/>
        </w:trPr>
        <w:tc>
          <w:tcPr>
            <w:tcW w:type="dxa" w:w="4819"/>
            <w:vAlign w:val="top"/>
          </w:tcPr>
          <w:p>
            <w:pPr>
              <w:spacing w:before="80" w:after="80"/>
            </w:pPr>
            <w:r>
              <w:rPr>
                <w:sz w:val="21"/>
              </w:rPr>
              <w:t>Залишок після зарахування</w:t>
            </w:r>
          </w:p>
        </w:tc>
        <w:tc>
          <w:tcPr>
            <w:tcW w:type="dxa" w:w="4819"/>
            <w:vAlign w:val="top"/>
          </w:tcPr>
          <w:p>
            <w:pPr>
              <w:spacing w:before="80" w:after="80"/>
            </w:pPr>
            <w:r>
              <w:rPr>
                <w:i/>
                <w:color w:val="595959"/>
                <w:sz w:val="21"/>
              </w:rPr>
              <w:t>[Правильний залишок основного боргу, грн]</w:t>
            </w:r>
          </w:p>
        </w:tc>
      </w:tr>
    </w:tbl>
    <w:p>
      <w:pPr>
        <w:spacing w:after="0"/>
      </w:pPr>
    </w:p>
    <w:p>
      <w:pPr>
        <w:ind w:firstLine="709"/>
        <w:jc w:val="both"/>
      </w:pPr>
      <w:r>
        <w:t>Посилаюся на статті 89, 263–264, 367, 374 та 376 ЦПК України щодо оцінки доказів, обґрунтованості рішення, меж перегляду та повноважень апеляційного суду. Нових вимог, нових доказів і клопотання про дослідження раніше не поданих матеріалів не заявляю.</w:t>
      </w:r>
    </w:p>
    <w:p>
      <w:pPr>
        <w:pStyle w:val="Heading2"/>
        <w:keepNext/>
        <w:spacing w:before="240" w:after="60"/>
        <w:jc w:val="center"/>
      </w:pPr>
      <w:r>
        <w:rPr>
          <w:b/>
          <w:caps/>
          <w:sz w:val="24"/>
          <w:spacing w:val="8"/>
        </w:rPr>
        <w:t>ПРОШУ</w:t>
      </w:r>
    </w:p>
    <w:p>
      <w:pPr>
        <w:tabs>
          <w:tab w:pos="397" w:val="left"/>
        </w:tabs>
        <w:ind w:left="397" w:hanging="397"/>
        <w:jc w:val="both"/>
      </w:pPr>
      <w:r>
        <w:t>1.</w:t>
        <w:tab/>
      </w:r>
      <w:r>
        <w:t xml:space="preserve">Змінити рішення суду першої інстанції від </w:t>
      </w:r>
      <w:r>
        <w:rPr>
          <w:i/>
          <w:color w:val="595959"/>
        </w:rPr>
        <w:t>[Дата рішення та складення повного тексту]</w:t>
      </w:r>
      <w:r>
        <w:t xml:space="preserve"> у справі </w:t>
      </w:r>
      <w:r>
        <w:rPr>
          <w:i/>
          <w:color w:val="595959"/>
        </w:rPr>
        <w:t>[Номер справи]</w:t>
      </w:r>
      <w:r>
        <w:t xml:space="preserve"> в частині основного боргу: зменшити стягнення з </w:t>
      </w:r>
      <w:r>
        <w:rPr>
          <w:i/>
          <w:color w:val="595959"/>
        </w:rPr>
        <w:t>[Стягнута за рішенням основна сума, грн]</w:t>
      </w:r>
      <w:r>
        <w:t xml:space="preserve"> грн до </w:t>
      </w:r>
      <w:r>
        <w:rPr>
          <w:i/>
          <w:color w:val="595959"/>
        </w:rPr>
        <w:t>[Правильний залишок основного боргу, грн]</w:t>
      </w:r>
      <w:r>
        <w:t xml:space="preserve"> грн, відмовивши в стягненні повернутих </w:t>
      </w:r>
      <w:r>
        <w:rPr>
          <w:i/>
          <w:color w:val="595959"/>
        </w:rPr>
        <w:t>[Неврахована повернута сума, грн]</w:t>
      </w:r>
      <w:r>
        <w:t xml:space="preserve"> грн.</w:t>
      </w:r>
    </w:p>
    <w:p>
      <w:pPr>
        <w:tabs>
          <w:tab w:pos="397" w:val="left"/>
        </w:tabs>
        <w:ind w:left="397" w:hanging="397"/>
        <w:jc w:val="both"/>
      </w:pPr>
      <w:r>
        <w:t>2.</w:t>
        <w:tab/>
      </w:r>
      <w:r>
        <w:t>Вирішити питання розподілу підтверджених судових витрат з урахуванням результату апеляційного перегляду та статті 141 ЦПК України.</w:t>
      </w:r>
    </w:p>
    <w:p>
      <w:pPr>
        <w:ind w:firstLine="709"/>
        <w:jc w:val="both"/>
      </w:pPr>
      <w:r>
        <w:t>Інших клопотань у цьому вузькому сценарії немає. Проценти, неустойка та інші складові стягнення до предмета навчальної апеляції не включені. Подання апеляції саме по собі тут не заявляється як зупинення виконання.</w:t>
      </w:r>
    </w:p>
    <w:p>
      <w:pPr>
        <w:ind w:firstLine="709"/>
        <w:jc w:val="both"/>
      </w:pPr>
      <w:r>
        <w:rPr>
          <w:b/>
        </w:rPr>
        <w:t xml:space="preserve">Розрахунок судового збору: </w:t>
      </w:r>
      <w:r>
        <w:rPr>
          <w:i/>
          <w:color w:val="595959"/>
        </w:rPr>
        <w:t>[Розрахунок збору за роком первісного позову, оспорюваною сумою та способом подання]</w:t>
      </w:r>
      <w:r>
        <w:t xml:space="preserve">. Сплачена за умовами прикладу сума — </w:t>
      </w:r>
      <w:r>
        <w:rPr>
          <w:i/>
          <w:color w:val="595959"/>
        </w:rPr>
        <w:t>[Сума належного апеляційного збору, грн]</w:t>
      </w:r>
      <w:r>
        <w:t xml:space="preserve"> грн; документ зазначено в додатках.</w:t>
      </w:r>
    </w:p>
    <w:p>
      <w:pPr>
        <w:keepNext/>
        <w:spacing w:before="120" w:after="40"/>
        <w:ind w:firstLine="0"/>
        <w:jc w:val="left"/>
      </w:pPr>
      <w:r>
        <w:rPr>
          <w:b/>
        </w:rPr>
        <w:t>Додатки:</w:t>
      </w:r>
    </w:p>
    <w:p>
      <w:pPr>
        <w:keepNext/>
        <w:tabs>
          <w:tab w:pos="397" w:val="left"/>
        </w:tabs>
        <w:ind w:left="397" w:hanging="397"/>
        <w:jc w:val="both"/>
      </w:pPr>
      <w:r>
        <w:t>1.</w:t>
        <w:tab/>
      </w:r>
      <w:r>
        <w:t xml:space="preserve">Документ щодо судового збору: </w:t>
      </w:r>
      <w:r>
        <w:rPr>
          <w:i/>
          <w:color w:val="595959"/>
        </w:rPr>
        <w:t>[Документ про сплату належного збору або доведений виняток]</w:t>
      </w:r>
      <w:r>
        <w:t>.</w:t>
      </w:r>
    </w:p>
    <w:p>
      <w:pPr>
        <w:keepNext/>
        <w:tabs>
          <w:tab w:pos="397" w:val="left"/>
        </w:tabs>
        <w:ind w:left="397" w:hanging="397"/>
        <w:jc w:val="both"/>
      </w:pPr>
      <w:r>
        <w:t>2.</w:t>
        <w:tab/>
      </w:r>
      <w:r>
        <w:t xml:space="preserve">Копія оскаржуваного рішення та доказ дати вручення: </w:t>
      </w:r>
      <w:r>
        <w:rPr>
          <w:i/>
          <w:color w:val="595959"/>
        </w:rPr>
        <w:t>[Доказ вручення рішення]</w:t>
      </w:r>
      <w:r>
        <w:t>.</w:t>
      </w:r>
    </w:p>
    <w:p>
      <w:pPr>
        <w:keepNext/>
        <w:tabs>
          <w:tab w:pos="397" w:val="left"/>
        </w:tabs>
        <w:ind w:left="397" w:hanging="397"/>
        <w:jc w:val="both"/>
      </w:pPr>
      <w:r>
        <w:t>3.</w:t>
        <w:tab/>
      </w:r>
      <w:r>
        <w:t xml:space="preserve">Паперові копії апеляції та доданих письмових матеріалів за кількістю інших учасників відповідно до пункту 2 частини четвертої статті 356 ЦПК України: </w:t>
      </w:r>
      <w:r>
        <w:rPr>
          <w:i/>
          <w:color w:val="595959"/>
        </w:rPr>
        <w:t>[Паперові копії апеляції та доданих письмових матеріалів для іншого учасника]</w:t>
      </w:r>
      <w:r>
        <w:t>.</w:t>
      </w:r>
    </w:p>
    <w:p>
      <w:pPr>
        <w:keepNext/>
        <w:tabs>
          <w:tab w:pos="397" w:val="left"/>
        </w:tabs>
        <w:ind w:left="397" w:hanging="397"/>
        <w:jc w:val="both"/>
      </w:pPr>
      <w:r>
        <w:t>4.</w:t>
        <w:tab/>
      </w:r>
      <w:r>
        <w:t xml:space="preserve">Покажчик наявного доказу: </w:t>
      </w:r>
      <w:r>
        <w:rPr>
          <w:i/>
          <w:color w:val="595959"/>
        </w:rPr>
        <w:t>[Точний доказ зарахування та його місце у справі]</w:t>
      </w:r>
      <w:r>
        <w:t>; повторне наведення не означає подання нового доказу.</w:t>
      </w:r>
    </w:p>
    <w:p>
      <w:pPr>
        <w:keepNext/>
        <w:tabs>
          <w:tab w:pos="397" w:val="left"/>
        </w:tabs>
        <w:ind w:left="397" w:hanging="397"/>
        <w:jc w:val="both"/>
      </w:pPr>
      <w:r>
        <w:t>5.</w:t>
        <w:tab/>
      </w:r>
      <w:r>
        <w:t>Апелянт діє особисто; документа про повноваження представника в цьому прикладі немає.</w:t>
      </w:r>
    </w:p>
    <w:p>
      <w:pPr>
        <w:keepNext/>
        <w:ind w:firstLine="709"/>
        <w:jc w:val="both"/>
      </w:pPr>
      <w:r>
        <w:rPr>
          <w:i/>
          <w:color w:val="595959"/>
        </w:rPr>
        <w:t>[Дата подання апеляції]</w:t>
      </w:r>
      <w:r>
        <w:t xml:space="preserve">. </w:t>
      </w:r>
      <w:r>
        <w:rPr>
          <w:i/>
          <w:color w:val="595959"/>
        </w:rPr>
        <w:t>[Підпис заявника]</w:t>
      </w:r>
      <w:r>
        <w:t xml:space="preserve"> / </w:t>
      </w:r>
      <w:r>
        <w:rPr>
          <w:i/>
          <w:color w:val="595959"/>
        </w:rPr>
        <w:t>[ПІБ заявника]</w:t>
      </w:r>
    </w:p>
    <w:p>
      <w:pPr>
        <w:spacing w:before="360"/>
      </w:pPr>
      <w:r>
        <w:rPr>
          <w:color w:val="595959"/>
          <w:sz w:val="18"/>
        </w:rPr>
        <w:t xml:space="preserve">Пояснення та межі застосування: </w:t>
      </w:r>
      <w:hyperlink r:id="rId10">
        <w:r>
          <w:rPr>
            <w:sz w:val="18"/>
          </w:rPr>
          <w:t>https://yuryst-kyiv.com/guides/yak-podaty-apeliatsiinu-skarhu-u-tsyvilnii-spravi</w:t>
        </w:r>
      </w:hyperlink>
    </w:p>
    <w:sectPr w:rsidR="00FC693F" w:rsidRPr="0006063C" w:rsidSect="00034616">
      <w:footerReference w:type="default" r:id="rId9"/>
      <w:pgSz w:w="11906" w:h="16838"/>
      <w:pgMar w:top="1020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59" w:lineRule="auto"/>
    </w:pPr>
    <w:rPr>
      <w:rFonts w:ascii="Liberation Serif" w:hAnsi="Liberation Serif" w:eastAsia="Liberation Serif" w:cs="Liberation Serif"/>
      <w:color w:val="000000"/>
      <w:sz w:val="23"/>
      <w:lang w:val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0" w:after="0"/>
      <w:outlineLvl w:val="0"/>
    </w:pPr>
    <w:rPr>
      <w:rFonts w:ascii="Liberation Serif" w:hAnsi="Liberation Serif" w:eastAsia="Liberation Serif" w:cs="Liberation Serif"/>
      <w:b/>
      <w:bCs/>
      <w:color w:val="000000"/>
      <w:sz w:val="23"/>
      <w:szCs w:val="28"/>
      <w:lang w:val="uk-U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0" w:after="0"/>
      <w:outlineLvl w:val="1"/>
    </w:pPr>
    <w:rPr>
      <w:rFonts w:ascii="Liberation Serif" w:hAnsi="Liberation Serif" w:eastAsia="Liberation Serif" w:cs="Liberation Serif"/>
      <w:b/>
      <w:bCs/>
      <w:color w:val="000000"/>
      <w:sz w:val="23"/>
      <w:szCs w:val="26"/>
      <w:lang w:val="uk-U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0" w:line="240" w:lineRule="auto" w:before="0"/>
      <w:contextualSpacing/>
    </w:pPr>
    <w:rPr>
      <w:rFonts w:ascii="Liberation Serif" w:hAnsi="Liberation Serif" w:eastAsia="Liberation Serif" w:cs="Liberation Serif"/>
      <w:color w:val="000000"/>
      <w:spacing w:val="5"/>
      <w:kern w:val="28"/>
      <w:sz w:val="23"/>
      <w:szCs w:val="52"/>
      <w:lang w:val="uk-UA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widowControl/>
      <w:numPr>
        <w:numId w:val="5"/>
      </w:numPr>
      <w:spacing w:before="0" w:after="0"/>
      <w:contextualSpacing/>
    </w:pPr>
    <w:rPr>
      <w:rFonts w:ascii="Liberation Serif" w:hAnsi="Liberation Serif" w:eastAsia="Liberation Serif" w:cs="Liberation Serif"/>
      <w:color w:val="000000"/>
      <w:sz w:val="23"/>
      <w:lang w:val="uk-UA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keepNext/>
      <w:widowControl/>
      <w:spacing w:line="240" w:lineRule="auto" w:before="0" w:after="0"/>
    </w:pPr>
    <w:rPr>
      <w:rFonts w:ascii="Liberation Serif" w:hAnsi="Liberation Serif" w:eastAsia="Liberation Serif" w:cs="Liberation Serif"/>
      <w:b/>
      <w:bCs/>
      <w:color w:val="000000"/>
      <w:sz w:val="23"/>
      <w:szCs w:val="18"/>
      <w:lang w:val="uk-UA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yuryst-kyiv.com/guides/yak-podaty-apeliatsiinu-skarhu-u-tsyvilnii-spr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Апеляційна скарга: доведене часткове повернення позики не враховано</dc:title>
  <dc:subject>Educational legal document; not individualized advice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uk-UA</dc:language>
</cp:coreProperties>
</file>