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color w:val="595959"/>
          <w:sz w:val="19"/>
        </w:rPr>
        <w:t>Навчальний приклад. Особи, їхні приватні адреси, номери справ і події прикладу вигадані. Назви та публічні реквізити реальних установ наведено лише для прямо визначених навчальних умов. Демонстраційні ідентифікатори непридатні для подання. Справжні квитанції, банківські та судові документи не імітуються.</w:t>
      </w:r>
    </w:p>
    <w:p>
      <w:pPr>
        <w:spacing w:after="20"/>
      </w:pPr>
      <w:r>
        <w:rPr>
          <w:color w:val="595959"/>
          <w:sz w:val="19"/>
        </w:rPr>
        <w:t>Заготовка з іменованими полями · Версія 1 · Українською</w:t>
      </w:r>
    </w:p>
    <w:p>
      <w:pPr>
        <w:pStyle w:val="Title"/>
        <w:spacing w:after="360"/>
        <w:pBdr>
          <w:bottom w:val="single" w:sz="4" w:space="6" w:color="8C8C8C"/>
        </w:pBdr>
      </w:pPr>
      <w:r>
        <w:rPr>
          <w:b/>
          <w:sz w:val="21"/>
        </w:rPr>
        <w:t>Відстрочення збору: фізична особа, збір понад 5 відсотків річного доходу</w:t>
      </w:r>
    </w:p>
    <w:p>
      <w:pPr>
        <w:spacing w:after="0"/>
        <w:ind w:left="4819"/>
      </w:pPr>
      <w:r>
        <w:rPr>
          <w:b/>
        </w:rPr>
        <w:t xml:space="preserve">До: </w:t>
      </w:r>
      <w:r>
        <w:rPr>
          <w:i/>
          <w:color w:val="595959"/>
        </w:rPr>
        <w:t>[Найменування суду]</w:t>
      </w:r>
      <w:r>
        <w:t>.</w:t>
      </w:r>
    </w:p>
    <w:p>
      <w:pPr>
        <w:spacing w:after="120"/>
        <w:ind w:left="4819"/>
      </w:pPr>
      <w:r>
        <w:rPr>
          <w:b w:val="0"/>
        </w:rPr>
        <w:t xml:space="preserve">Адреса: </w:t>
      </w:r>
      <w:r>
        <w:rPr>
          <w:i/>
          <w:color w:val="595959"/>
        </w:rPr>
        <w:t>[Актуальна поштова адреса суду]</w:t>
      </w:r>
      <w:r>
        <w:t>.</w:t>
      </w:r>
    </w:p>
    <w:p>
      <w:pPr>
        <w:spacing w:after="0"/>
        <w:ind w:left="4819"/>
      </w:pPr>
      <w:r>
        <w:rPr>
          <w:b/>
        </w:rPr>
        <w:t xml:space="preserve">Позивач (заявник): </w:t>
      </w:r>
      <w:r>
        <w:rPr>
          <w:i/>
          <w:color w:val="595959"/>
        </w:rPr>
        <w:t>[ПІБ позивача]</w:t>
      </w:r>
      <w:r>
        <w:t>.</w:t>
      </w:r>
    </w:p>
    <w:p>
      <w:pPr>
        <w:spacing w:after="120"/>
        <w:ind w:left="4819"/>
      </w:pPr>
      <w:r>
        <w:rPr>
          <w:b w:val="0"/>
        </w:rPr>
        <w:t xml:space="preserve">Адреса: </w:t>
      </w:r>
      <w:r>
        <w:rPr>
          <w:i/>
          <w:color w:val="595959"/>
        </w:rPr>
        <w:t>[Поштова адреса, індекс позивача]</w:t>
      </w:r>
      <w:r>
        <w:t xml:space="preserve">. </w:t>
      </w:r>
      <w:r>
        <w:rPr>
          <w:i/>
          <w:color w:val="595959"/>
        </w:rPr>
        <w:t>[Ідентифікатори, контакти та електронний кабінет позивача]</w:t>
      </w:r>
      <w:r>
        <w:t>. За умовами прикладу електронний кабінет заявника відсутній; він є фізичною особою без обов’язку реєстрації.</w:t>
      </w:r>
    </w:p>
    <w:p>
      <w:pPr>
        <w:spacing w:after="0"/>
        <w:ind w:left="4819"/>
      </w:pPr>
      <w:r>
        <w:rPr>
          <w:b/>
        </w:rPr>
        <w:t xml:space="preserve">Відповідач: </w:t>
      </w:r>
      <w:r>
        <w:rPr>
          <w:i/>
          <w:color w:val="595959"/>
        </w:rPr>
        <w:t>[ПІБ відповідача]</w:t>
      </w:r>
      <w:r>
        <w:t>.</w:t>
      </w:r>
    </w:p>
    <w:p>
      <w:pPr>
        <w:spacing w:after="0"/>
        <w:ind w:left="4819"/>
      </w:pPr>
      <w:r>
        <w:rPr>
          <w:b w:val="0"/>
        </w:rPr>
        <w:t xml:space="preserve">Адреса: </w:t>
      </w:r>
      <w:r>
        <w:rPr>
          <w:i/>
          <w:color w:val="595959"/>
        </w:rPr>
        <w:t>[Поштова адреса, індекс відповідача]</w:t>
      </w:r>
      <w:r>
        <w:t xml:space="preserve">. </w:t>
      </w:r>
      <w:r>
        <w:rPr>
          <w:i/>
          <w:color w:val="595959"/>
        </w:rPr>
        <w:t>[РНОКПП або паспортні реквізити відповідача за застосовною вимогою]</w:t>
      </w:r>
      <w:r>
        <w:t>.</w:t>
      </w:r>
    </w:p>
    <w:p>
      <w:pPr>
        <w:spacing w:after="120"/>
        <w:ind w:left="4819"/>
      </w:pPr>
      <w:r>
        <w:rPr>
          <w:b/>
        </w:rPr>
        <w:t xml:space="preserve">Контакти: </w:t>
      </w:r>
      <w:r>
        <w:rPr>
          <w:i/>
          <w:color w:val="595959"/>
        </w:rPr>
        <w:t>[Телефон та електронна адреса відповідача]</w:t>
      </w:r>
      <w:r>
        <w:t xml:space="preserve">. </w:t>
      </w:r>
      <w:r>
        <w:rPr>
          <w:i/>
          <w:color w:val="595959"/>
        </w:rPr>
        <w:t>[Відомості про електронний кабінет відповідача]</w:t>
      </w:r>
      <w:r>
        <w:t>.</w:t>
      </w:r>
    </w:p>
    <w:p>
      <w:pPr>
        <w:spacing w:after="600"/>
        <w:ind w:left="4819"/>
      </w:pPr>
      <w:r>
        <w:t xml:space="preserve">Подається разом із паперовою позовною заявою про стягнення основної суми позики. Номер справи й суддю ще не визначено. Ціна позову — </w:t>
      </w:r>
      <w:r>
        <w:rPr>
          <w:i/>
          <w:color w:val="595959"/>
        </w:rPr>
        <w:t>[Ціна майнового позову, грн]</w:t>
      </w:r>
      <w:r>
        <w:t xml:space="preserve"> грн.</w:t>
      </w:r>
    </w:p>
    <w:p>
      <w:pPr>
        <w:pStyle w:val="Heading1"/>
        <w:keepNext/>
        <w:spacing w:before="120" w:after="200"/>
        <w:jc w:val="center"/>
      </w:pPr>
      <w:r>
        <w:rPr>
          <w:b/>
          <w:caps/>
          <w:sz w:val="25"/>
          <w:spacing w:val="12"/>
        </w:rPr>
        <w:t>КЛОПОТАННЯ про відстрочення сплати судового збору</w:t>
      </w:r>
    </w:p>
    <w:p>
      <w:pPr>
        <w:ind w:firstLine="709"/>
        <w:jc w:val="both"/>
      </w:pPr>
      <w:r>
        <w:t xml:space="preserve">Разом із цим клопотанням подаю повну позовну заяву з належними додатками про стягнення </w:t>
      </w:r>
      <w:r>
        <w:rPr>
          <w:i/>
          <w:color w:val="595959"/>
        </w:rPr>
        <w:t>[Ціна майнового позову, грн]</w:t>
      </w:r>
      <w:r>
        <w:t xml:space="preserve"> грн основного боргу. Пільги зі сплати судового збору за статтею 5 Закону України «Про судовий збір» за умовами прикладу не маю. Звертаюся саме щодо відстрочення, а не звільнення від сплати.</w:t>
      </w:r>
    </w:p>
    <w:p>
      <w:pPr>
        <w:ind w:firstLine="709"/>
        <w:jc w:val="both"/>
      </w:pPr>
      <w:r>
        <w:t xml:space="preserve">У 2026 році за цей паперовий майновий позов фізичної особи збір становить </w:t>
      </w:r>
      <w:r>
        <w:rPr>
          <w:i/>
          <w:color w:val="595959"/>
        </w:rPr>
        <w:t>[Збір за паперовий майновий позов фізичної особи в рік звернення, грн]</w:t>
      </w:r>
      <w:r>
        <w:t xml:space="preserve"> грн: 1 відсоток ціни позову нижчий за мінімум 0,4 прожиткового мінімуму для працездатних осіб на 1 січня 2026 року, який дорівнює 3 328 грн. Електронний коефіцієнт у цьому паперовому прикладі не застосовується.</w:t>
      </w:r>
    </w:p>
    <w:p>
      <w:pPr>
        <w:ind w:firstLine="709"/>
        <w:jc w:val="both"/>
      </w:pPr>
      <w:r>
        <w:t xml:space="preserve">Мій увесь річний дохід за </w:t>
      </w:r>
      <w:r>
        <w:rPr>
          <w:i/>
          <w:color w:val="595959"/>
        </w:rPr>
        <w:t>[Календарний рік перед зверненням]</w:t>
      </w:r>
      <w:r>
        <w:t xml:space="preserve"> рік становив </w:t>
      </w:r>
      <w:r>
        <w:rPr>
          <w:i/>
          <w:color w:val="595959"/>
        </w:rPr>
        <w:t>[Увесь підтверджений річний дохід за попередній календарний рік, грн]</w:t>
      </w:r>
      <w:r>
        <w:t xml:space="preserve"> грн; його 5 відсотків — </w:t>
      </w:r>
      <w:r>
        <w:rPr>
          <w:i/>
          <w:color w:val="595959"/>
        </w:rPr>
        <w:t>[5 відсотків усього річного доходу, грн]</w:t>
      </w:r>
      <w:r>
        <w:t xml:space="preserve"> грн. Отже, належний збір </w:t>
      </w:r>
      <w:r>
        <w:rPr>
          <w:i/>
          <w:color w:val="595959"/>
        </w:rPr>
        <w:t>[Збір за паперовий майновий позов фізичної особи в рік звернення, грн]</w:t>
      </w:r>
      <w:r>
        <w:t xml:space="preserve"> грн перевищує цей показник. </w:t>
      </w:r>
      <w:r>
        <w:rPr>
          <w:b/>
        </w:rPr>
        <w:t xml:space="preserve">Підтвердження повного річного доходу: </w:t>
      </w:r>
      <w:r>
        <w:rPr>
          <w:i/>
          <w:color w:val="595959"/>
        </w:rPr>
        <w:t>[Документи про весь попередній річний дохід]</w:t>
      </w:r>
      <w:r>
        <w:t>. Посилаюся на пункт 1 частини першої статті 8 Закону України «Про судовий збір»; сам факт перевищення не означає автоматичного задоволення клопотання.</w:t>
      </w:r>
    </w:p>
    <w:p>
      <w:pPr>
        <w:ind w:firstLine="709"/>
        <w:jc w:val="both"/>
      </w:pPr>
      <w:r>
        <w:rPr>
          <w:b/>
        </w:rPr>
        <w:t xml:space="preserve">Актуальний майновий стан: </w:t>
      </w:r>
      <w:r>
        <w:rPr>
          <w:i/>
          <w:color w:val="595959"/>
        </w:rPr>
        <w:t>[Повний актуальний майновий стан та необхідні витрати, підтверджені додатками]</w:t>
      </w:r>
      <w:r>
        <w:t xml:space="preserve">. </w:t>
      </w:r>
      <w:r>
        <w:rPr>
          <w:b/>
        </w:rPr>
        <w:t xml:space="preserve">Підтвердження: </w:t>
      </w:r>
      <w:r>
        <w:rPr>
          <w:i/>
          <w:color w:val="595959"/>
        </w:rPr>
        <w:t>[Документи про поточний майновий стан і витрати]</w:t>
      </w:r>
      <w:r>
        <w:t>. Наводжу як доходи, так і майно та витрати, щоб суд міг оцінити реальну можливість сплати відповідно до частини третьої статті 8 цього Закону й статті 136 ЦПК України. Одержання позики назад у цій справі є спірним, тому не подаю майбутнє рішення про її стягнення як гарантоване джерело оплати.</w:t>
      </w:r>
    </w:p>
    <w:p>
      <w:pPr>
        <w:ind w:firstLine="709"/>
        <w:jc w:val="both"/>
      </w:pPr>
      <w:r>
        <w:t xml:space="preserve">Прошу відстрочити сплату до </w:t>
      </w:r>
      <w:r>
        <w:rPr>
          <w:i/>
          <w:color w:val="595959"/>
        </w:rPr>
        <w:t>[Конкретна дата, до якої просите відстрочити, не пізніше рішення]</w:t>
      </w:r>
      <w:r>
        <w:t xml:space="preserve">, але в будь-якому разі не довше ніж до ухвалення судового рішення у справі. Можливість сплати до цієї дати підтверджується так: </w:t>
      </w:r>
      <w:r>
        <w:rPr>
          <w:i/>
          <w:color w:val="595959"/>
        </w:rPr>
        <w:t>[Підтверджена можливість сплатити до запитаної дати]</w:t>
      </w:r>
      <w:r>
        <w:t>. Такий обмежений строк прошу оцінити з урахуванням наведених доказів, а не як безстрокове відкладення.</w:t>
      </w:r>
    </w:p>
    <w:p>
      <w:pPr>
        <w:ind w:firstLine="709"/>
        <w:jc w:val="both"/>
      </w:pPr>
      <w:r>
        <w:t>Копії доказів засвідчені мною із зазначенням дати; оригінали перебувають у мене та можуть бути надані суду. Паперовий комплект копій позову, цього клопотання та додатків для відповідача подано разом із позовом за статтею 177 ЦПК України. Справжні банківські, податкові чи пенсійні довідки у навчальному пакеті не імітуються.</w:t>
      </w:r>
    </w:p>
    <w:p>
      <w:pPr>
        <w:pStyle w:val="Heading2"/>
        <w:keepNext/>
        <w:spacing w:before="240" w:after="60"/>
        <w:jc w:val="center"/>
      </w:pPr>
      <w:r>
        <w:rPr>
          <w:b/>
          <w:caps/>
          <w:sz w:val="24"/>
          <w:spacing w:val="8"/>
        </w:rPr>
        <w:t>Прошу суд:</w:t>
      </w:r>
    </w:p>
    <w:p>
      <w:pPr>
        <w:tabs>
          <w:tab w:pos="397" w:val="left"/>
        </w:tabs>
        <w:ind w:left="397" w:hanging="397"/>
        <w:jc w:val="both"/>
      </w:pPr>
      <w:r>
        <w:t>1.</w:t>
        <w:tab/>
      </w:r>
      <w:r>
        <w:t xml:space="preserve">Відстрочити сплату судового збору в сумі </w:t>
      </w:r>
      <w:r>
        <w:rPr>
          <w:i/>
          <w:color w:val="595959"/>
        </w:rPr>
        <w:t>[Збір за паперовий майновий позов фізичної особи в рік звернення, грн]</w:t>
      </w:r>
      <w:r>
        <w:t xml:space="preserve"> грн за доданий позов до </w:t>
      </w:r>
      <w:r>
        <w:rPr>
          <w:i/>
          <w:color w:val="595959"/>
        </w:rPr>
        <w:t>[Конкретна дата, до якої просите відстрочити, не пізніше рішення]</w:t>
      </w:r>
      <w:r>
        <w:t>, але не довше ніж до ухвалення судового рішення у справі, на підставі пункту 1 частини першої та частини третьої статті 8 Закону України «Про судовий збір» і статті 136 ЦПК України.</w:t>
      </w:r>
    </w:p>
    <w:p>
      <w:pPr>
        <w:keepNext/>
        <w:spacing w:before="120" w:after="40"/>
        <w:ind w:firstLine="0"/>
        <w:jc w:val="left"/>
      </w:pPr>
      <w:r>
        <w:rPr>
          <w:b/>
        </w:rPr>
        <w:t>Додатки:</w:t>
      </w:r>
    </w:p>
    <w:p>
      <w:pPr>
        <w:keepNext/>
        <w:tabs>
          <w:tab w:pos="397" w:val="left"/>
        </w:tabs>
        <w:ind w:left="397" w:hanging="397"/>
        <w:jc w:val="both"/>
      </w:pPr>
      <w:r>
        <w:t>1.</w:t>
        <w:tab/>
      </w:r>
      <w:r>
        <w:t xml:space="preserve">Документи про повний річний дохід: </w:t>
      </w:r>
      <w:r>
        <w:rPr>
          <w:i/>
          <w:color w:val="595959"/>
        </w:rPr>
        <w:t>[Документи про весь попередній річний дохід]</w:t>
      </w:r>
      <w:r>
        <w:t>.</w:t>
      </w:r>
    </w:p>
    <w:p>
      <w:pPr>
        <w:keepNext/>
        <w:tabs>
          <w:tab w:pos="397" w:val="left"/>
        </w:tabs>
        <w:ind w:left="397" w:hanging="397"/>
        <w:jc w:val="both"/>
      </w:pPr>
      <w:r>
        <w:t>2.</w:t>
        <w:tab/>
      </w:r>
      <w:r>
        <w:t xml:space="preserve">Документи про актуальний майновий стан: </w:t>
      </w:r>
      <w:r>
        <w:rPr>
          <w:i/>
          <w:color w:val="595959"/>
        </w:rPr>
        <w:t>[Документи про поточний майновий стан і витрати]</w:t>
      </w:r>
      <w:r>
        <w:t>.</w:t>
      </w:r>
    </w:p>
    <w:p>
      <w:pPr>
        <w:keepNext/>
        <w:tabs>
          <w:tab w:pos="397" w:val="left"/>
        </w:tabs>
        <w:ind w:left="397" w:hanging="397"/>
        <w:jc w:val="both"/>
      </w:pPr>
      <w:r>
        <w:t>3.</w:t>
        <w:tab/>
      </w:r>
      <w:r>
        <w:t xml:space="preserve">Документи про очікувану оплату роботи: </w:t>
      </w:r>
      <w:r>
        <w:rPr>
          <w:i/>
          <w:color w:val="595959"/>
        </w:rPr>
        <w:t>[Підтверджена можливість сплатити до запитаної дати]</w:t>
      </w:r>
      <w:r>
        <w:t>.</w:t>
      </w:r>
    </w:p>
    <w:p>
      <w:pPr>
        <w:keepNext/>
        <w:tabs>
          <w:tab w:pos="397" w:val="left"/>
        </w:tabs>
        <w:ind w:left="397" w:hanging="397"/>
        <w:jc w:val="both"/>
      </w:pPr>
      <w:r>
        <w:t>4.</w:t>
        <w:tab/>
      </w:r>
      <w:r>
        <w:t>Копії цього клопотання та додатків для відповідача у складі паперового комплекту позову.</w:t>
      </w:r>
    </w:p>
    <w:p>
      <w:pPr>
        <w:keepNext/>
        <w:ind w:firstLine="709"/>
        <w:jc w:val="both"/>
      </w:pPr>
      <w:r>
        <w:rPr>
          <w:i/>
          <w:color w:val="595959"/>
        </w:rPr>
        <w:t>[Дата підписання і подання]</w:t>
      </w:r>
      <w:r>
        <w:t xml:space="preserve">. </w:t>
      </w:r>
      <w:r>
        <w:rPr>
          <w:i/>
          <w:color w:val="595959"/>
        </w:rPr>
        <w:t>[Підпис позивача]</w:t>
      </w:r>
      <w:r>
        <w:t xml:space="preserve"> / </w:t>
      </w:r>
      <w:r>
        <w:rPr>
          <w:i/>
          <w:color w:val="595959"/>
        </w:rPr>
        <w:t>[ПІБ позивача]</w:t>
      </w:r>
    </w:p>
    <w:p>
      <w:pPr>
        <w:spacing w:before="360"/>
      </w:pPr>
      <w:r>
        <w:rPr>
          <w:color w:val="595959"/>
          <w:sz w:val="18"/>
        </w:rPr>
        <w:t xml:space="preserve">Пояснення та межі застосування: </w:t>
      </w:r>
      <w:hyperlink r:id="rId10">
        <w:r>
          <w:rPr>
            <w:sz w:val="18"/>
          </w:rPr>
          <w:t>https://yuryst-kyiv.com/guides/yak-zmenshyty-abo-vidstrochyty-sudovyi-zbir</w:t>
        </w:r>
      </w:hyperlink>
    </w:p>
    <w:sectPr w:rsidR="00FC693F" w:rsidRPr="0006063C" w:rsidSect="00034616">
      <w:footerReference w:type="default" r:id="rId9"/>
      <w:pgSz w:w="11906" w:h="16838"/>
      <w:pgMar w:top="1020"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9" w:lineRule="auto"/>
    </w:pPr>
    <w:rPr>
      <w:rFonts w:ascii="Liberation Serif" w:hAnsi="Liberation Serif" w:eastAsia="Liberation Serif" w:cs="Liberation Serif"/>
      <w:color w:val="000000"/>
      <w:sz w:val="23"/>
      <w:lang w:val="uk-U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0"/>
      <w:outlineLvl w:val="0"/>
    </w:pPr>
    <w:rPr>
      <w:rFonts w:ascii="Liberation Serif" w:hAnsi="Liberation Serif" w:eastAsia="Liberation Serif" w:cs="Liberation Serif"/>
      <w:b/>
      <w:bCs/>
      <w:color w:val="000000"/>
      <w:sz w:val="23"/>
      <w:szCs w:val="28"/>
      <w:lang w:val="uk-UA"/>
    </w:rPr>
  </w:style>
  <w:style w:type="paragraph" w:styleId="Heading2">
    <w:name w:val="heading 2"/>
    <w:basedOn w:val="Normal"/>
    <w:next w:val="Normal"/>
    <w:link w:val="Heading2Char"/>
    <w:uiPriority w:val="9"/>
    <w:unhideWhenUsed/>
    <w:qFormat/>
    <w:rsid w:val="00FC693F"/>
    <w:pPr>
      <w:keepNext/>
      <w:keepLines/>
      <w:widowControl/>
      <w:spacing w:before="0" w:after="0"/>
      <w:outlineLvl w:val="1"/>
    </w:pPr>
    <w:rPr>
      <w:rFonts w:ascii="Liberation Serif" w:hAnsi="Liberation Serif" w:eastAsia="Liberation Serif" w:cs="Liberation Serif"/>
      <w:b/>
      <w:bCs/>
      <w:color w:val="000000"/>
      <w:sz w:val="23"/>
      <w:szCs w:val="26"/>
      <w:lang w:val="uk-UA"/>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0" w:line="240" w:lineRule="auto" w:before="0"/>
      <w:contextualSpacing/>
    </w:pPr>
    <w:rPr>
      <w:rFonts w:ascii="Liberation Serif" w:hAnsi="Liberation Serif" w:eastAsia="Liberation Serif" w:cs="Liberation Serif"/>
      <w:color w:val="000000"/>
      <w:spacing w:val="5"/>
      <w:kern w:val="28"/>
      <w:sz w:val="23"/>
      <w:szCs w:val="52"/>
      <w:lang w:val="uk-U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before="0" w:after="0"/>
      <w:contextualSpacing/>
    </w:pPr>
    <w:rPr>
      <w:rFonts w:ascii="Liberation Serif" w:hAnsi="Liberation Serif" w:eastAsia="Liberation Serif" w:cs="Liberation Serif"/>
      <w:color w:val="000000"/>
      <w:sz w:val="23"/>
      <w:lang w:val="uk-UA"/>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widowControl/>
      <w:spacing w:line="240" w:lineRule="auto" w:before="0" w:after="0"/>
    </w:pPr>
    <w:rPr>
      <w:rFonts w:ascii="Liberation Serif" w:hAnsi="Liberation Serif" w:eastAsia="Liberation Serif" w:cs="Liberation Serif"/>
      <w:b/>
      <w:bCs/>
      <w:color w:val="000000"/>
      <w:sz w:val="23"/>
      <w:szCs w:val="18"/>
      <w:lang w:val="uk-UA"/>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yuryst-kyiv.com/guides/yak-zmenshyty-abo-vidstrochyty-sudovyi-zb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Відстрочення збору: фізична особа, збір понад 5 відсотків річного доходу</dc:title>
  <dc:subject>Educational legal document; not individualized advice</dc:subject>
  <dc:creator/>
  <cp:keywords/>
  <dc:description>generated by python-docx</dc:description>
  <cp:lastModifiedBy/>
  <cp:revision>1</cp:revision>
  <dcterms:created xsi:type="dcterms:W3CDTF">2013-12-23T23:15:00Z</dcterms:created>
  <dcterms:modified xsi:type="dcterms:W3CDTF">2013-12-23T23:15:00Z</dcterms:modified>
  <cp:category/>
  <dc:language>uk-UA</dc:language>
</cp:coreProperties>
</file>