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color w:val="595959"/>
          <w:sz w:val="19"/>
        </w:rPr>
        <w:t>Навчальний приклад. Особи, їхні приватні адреси, номери справ і події прикладу вигадані. Назви та публічні реквізити реальних установ наведено лише для прямо визначених навчальних умов. Демонстраційні ідентифікатори непридатні для подання. Справжні квитанції, банківські та судові документи не імітуються.</w:t>
      </w:r>
    </w:p>
    <w:p>
      <w:pPr>
        <w:spacing w:after="20"/>
      </w:pPr>
      <w:r>
        <w:rPr>
          <w:color w:val="595959"/>
          <w:sz w:val="19"/>
        </w:rPr>
        <w:t>Заготовка з іменованими полями · Версія 1 · Українською</w:t>
      </w:r>
    </w:p>
    <w:p>
      <w:pPr>
        <w:pStyle w:val="Title"/>
        <w:spacing w:after="360"/>
        <w:pBdr>
          <w:bottom w:val="single" w:sz="4" w:space="6" w:color="8C8C8C"/>
        </w:pBdr>
      </w:pPr>
      <w:r>
        <w:rPr>
          <w:b/>
          <w:sz w:val="21"/>
        </w:rPr>
        <w:t>Заява про позовну давність: строк сплив до карантину</w:t>
      </w:r>
    </w:p>
    <w:p>
      <w:pPr>
        <w:spacing w:after="0"/>
        <w:ind w:left="4819"/>
      </w:pPr>
      <w:r>
        <w:rPr>
          <w:b/>
        </w:rPr>
        <w:t xml:space="preserve">До: </w:t>
      </w:r>
      <w:r>
        <w:rPr>
          <w:i/>
          <w:color w:val="595959"/>
        </w:rPr>
        <w:t>[Найменування суду]</w:t>
      </w:r>
      <w:r>
        <w:t>.</w:t>
      </w:r>
    </w:p>
    <w:p>
      <w:pPr>
        <w:spacing w:after="120"/>
        <w:ind w:left="4819"/>
      </w:pPr>
      <w:r>
        <w:rPr>
          <w:b w:val="0"/>
        </w:rPr>
        <w:t xml:space="preserve">Адреса: </w:t>
      </w:r>
      <w:r>
        <w:rPr>
          <w:i/>
          <w:color w:val="595959"/>
        </w:rPr>
        <w:t>[Актуальна поштова адреса суду]</w:t>
      </w:r>
      <w:r>
        <w:t>.</w:t>
      </w:r>
    </w:p>
    <w:p>
      <w:pPr>
        <w:spacing w:after="0"/>
        <w:ind w:left="4819"/>
      </w:pPr>
      <w:r>
        <w:rPr>
          <w:b/>
        </w:rPr>
        <w:t xml:space="preserve">Відповідач: </w:t>
      </w:r>
      <w:r>
        <w:rPr>
          <w:i/>
          <w:color w:val="595959"/>
        </w:rPr>
        <w:t>[ПІБ відповідача]</w:t>
      </w:r>
      <w:r>
        <w:t>.</w:t>
      </w:r>
    </w:p>
    <w:p>
      <w:pPr>
        <w:spacing w:after="0"/>
        <w:ind w:left="4819"/>
      </w:pPr>
      <w:r>
        <w:rPr>
          <w:b w:val="0"/>
        </w:rPr>
        <w:t xml:space="preserve">Адреса: </w:t>
      </w:r>
      <w:r>
        <w:rPr>
          <w:i/>
          <w:color w:val="595959"/>
        </w:rPr>
        <w:t>[Поштова адреса, індекс відповідача]</w:t>
      </w:r>
      <w:r>
        <w:t xml:space="preserve">. </w:t>
      </w:r>
      <w:r>
        <w:rPr>
          <w:i/>
          <w:color w:val="595959"/>
        </w:rPr>
        <w:t>[РНОКПП або паспортні реквізити відповідача за застосовною вимогою]</w:t>
      </w:r>
      <w:r>
        <w:t>.</w:t>
      </w:r>
    </w:p>
    <w:p>
      <w:pPr>
        <w:spacing w:after="120"/>
        <w:ind w:left="4819"/>
      </w:pPr>
      <w:r>
        <w:rPr>
          <w:b/>
        </w:rPr>
        <w:t xml:space="preserve">Контакти: </w:t>
      </w:r>
      <w:r>
        <w:rPr>
          <w:i/>
          <w:color w:val="595959"/>
        </w:rPr>
        <w:t>[Телефон та електронна адреса відповідача]</w:t>
      </w:r>
      <w:r>
        <w:t xml:space="preserve">. </w:t>
      </w:r>
      <w:r>
        <w:rPr>
          <w:i/>
          <w:color w:val="595959"/>
        </w:rPr>
        <w:t>[Відомості про електронний кабінет відповідача]</w:t>
      </w:r>
      <w:r>
        <w:t>.</w:t>
      </w:r>
    </w:p>
    <w:p>
      <w:pPr>
        <w:spacing w:after="0"/>
        <w:ind w:left="4819"/>
      </w:pPr>
      <w:r>
        <w:rPr>
          <w:b/>
        </w:rPr>
        <w:t xml:space="preserve">Позивач: </w:t>
      </w:r>
      <w:r>
        <w:rPr>
          <w:i/>
          <w:color w:val="595959"/>
        </w:rPr>
        <w:t>[ПІБ позивача]</w:t>
      </w:r>
      <w:r>
        <w:t>.</w:t>
      </w:r>
    </w:p>
    <w:p>
      <w:pPr>
        <w:spacing w:after="120"/>
        <w:ind w:left="4819"/>
      </w:pPr>
      <w:r>
        <w:rPr>
          <w:b w:val="0"/>
        </w:rPr>
        <w:t xml:space="preserve">Адреса: </w:t>
      </w:r>
      <w:r>
        <w:rPr>
          <w:i/>
          <w:color w:val="595959"/>
        </w:rPr>
        <w:t>[Поштова адреса, індекс позивача]</w:t>
      </w:r>
      <w:r>
        <w:t xml:space="preserve">. </w:t>
      </w:r>
      <w:r>
        <w:rPr>
          <w:i/>
          <w:color w:val="595959"/>
        </w:rPr>
        <w:t>[Відомі ідентифікатори, контакти та електронний кабінет позивача]</w:t>
      </w:r>
      <w:r>
        <w:t>.</w:t>
      </w:r>
    </w:p>
    <w:p>
      <w:pPr>
        <w:spacing w:after="0"/>
        <w:ind w:left="4819"/>
      </w:pPr>
      <w:r>
        <w:t xml:space="preserve">Справа № </w:t>
      </w:r>
      <w:r>
        <w:rPr>
          <w:i/>
          <w:color w:val="595959"/>
        </w:rPr>
        <w:t>[Номер справи з ухвали суду]</w:t>
      </w:r>
      <w:r>
        <w:t>.</w:t>
      </w:r>
    </w:p>
    <w:p>
      <w:pPr>
        <w:spacing w:after="600"/>
        <w:ind w:left="4819"/>
      </w:pPr>
      <w:r>
        <w:rPr>
          <w:b/>
        </w:rPr>
        <w:t xml:space="preserve">Суддя: </w:t>
      </w:r>
      <w:r>
        <w:rPr>
          <w:i/>
          <w:color w:val="595959"/>
        </w:rPr>
        <w:t>[Прізвище та ініціали судді з ухвали]</w:t>
      </w:r>
      <w:r>
        <w:t>. Інших учасників за умовами прикладу немає.</w:t>
      </w:r>
    </w:p>
    <w:p>
      <w:pPr>
        <w:pStyle w:val="Heading1"/>
        <w:keepNext/>
        <w:spacing w:before="120" w:after="200"/>
        <w:jc w:val="center"/>
      </w:pPr>
      <w:r>
        <w:rPr>
          <w:b/>
          <w:caps/>
          <w:sz w:val="25"/>
          <w:spacing w:val="12"/>
        </w:rPr>
        <w:t>ЗАЯВА про застосування позовної давності</w:t>
      </w:r>
    </w:p>
    <w:p>
      <w:pPr>
        <w:ind w:firstLine="709"/>
        <w:jc w:val="both"/>
      </w:pPr>
      <w:r>
        <w:t xml:space="preserve">У провадженні суду перебуває позов про стягнення </w:t>
      </w:r>
      <w:r>
        <w:rPr>
          <w:i/>
          <w:color w:val="595959"/>
        </w:rPr>
        <w:t>[Заявлена основна сума позики, грн]</w:t>
      </w:r>
      <w:r>
        <w:t xml:space="preserve"> грн основної суми позики. Рішення по суті спору ще не ухвалене. Як відповідач — сторона спірного зобов’язання — заявляю про застосування позовної давності до цієї вимоги. Ця заява подається окремо від раніше поданого у встановлений судом строк відзиву й не замінює відзиву.</w:t>
      </w:r>
    </w:p>
    <w:p>
      <w:pPr>
        <w:ind w:firstLine="709"/>
        <w:jc w:val="both"/>
      </w:pPr>
      <w:r>
        <w:t xml:space="preserve">За матеріалами позову </w:t>
      </w:r>
      <w:r>
        <w:rPr>
          <w:i/>
          <w:color w:val="595959"/>
        </w:rPr>
        <w:t>[Дата письмового договору й передання грошей]</w:t>
      </w:r>
      <w:r>
        <w:t xml:space="preserve"> сторони уклали письмовий безпроцентний договір і передали кошти. Повернення прямо визначено до </w:t>
      </w:r>
      <w:r>
        <w:rPr>
          <w:i/>
          <w:color w:val="595959"/>
        </w:rPr>
        <w:t>[Договірний останній день повернення]</w:t>
      </w:r>
      <w:r>
        <w:t xml:space="preserve">. </w:t>
      </w:r>
      <w:r>
        <w:rPr>
          <w:b/>
        </w:rPr>
        <w:t xml:space="preserve">Докази: </w:t>
      </w:r>
      <w:r>
        <w:rPr>
          <w:i/>
          <w:color w:val="595959"/>
        </w:rPr>
        <w:t>[Письмові докази строку виконання та передання позики]</w:t>
      </w:r>
      <w:r>
        <w:t xml:space="preserve">. Позивач звернувся з цим позовом </w:t>
      </w:r>
      <w:r>
        <w:rPr>
          <w:i/>
          <w:color w:val="595959"/>
        </w:rPr>
        <w:t>[Дата первісного звернення з цим позовом]</w:t>
      </w:r>
      <w:r>
        <w:t>; інших вимог, крім основної суми й судових витрат, у навчальному позові немає.</w:t>
      </w:r>
    </w:p>
    <w:p>
      <w:pPr>
        <w:ind w:firstLine="709"/>
        <w:jc w:val="both"/>
      </w:pPr>
      <w:r>
        <w:t xml:space="preserve">Для цього зобов’язання з визначеним строком виконання застосовується загальна позовна давність тривалістю три роки за статтею 257 ЦК України. З урахуванням статей 253, 254 та частини п’ятої статті 261 ЦК її перебіг почався </w:t>
      </w:r>
      <w:r>
        <w:rPr>
          <w:i/>
          <w:color w:val="595959"/>
        </w:rPr>
        <w:t>[Початок перебігу з урахуванням статей 253 і 261 ЦК]</w:t>
      </w:r>
      <w:r>
        <w:t xml:space="preserve"> та сплив не пізніше </w:t>
      </w:r>
      <w:r>
        <w:rPr>
          <w:i/>
          <w:color w:val="595959"/>
        </w:rPr>
        <w:t>[Остання дата спливу, перевірена за всіма застосовними правилами]</w:t>
      </w:r>
      <w:r>
        <w:t>, задовго до звернення до суду.</w:t>
      </w:r>
    </w:p>
    <w:p>
      <w:pPr>
        <w:ind w:firstLine="709"/>
        <w:jc w:val="both"/>
      </w:pPr>
      <w:r>
        <w:t>Договірного збільшення позовної давності немає. Після настання строку повернення я не здійснював платежів, не підписував актів звіряння, нових графіків чи інших документів про визнання боргу. Відомостей про попередні позови, які могли перервати перебіг, немає. Обставин зупинення перебігу до його спливу за статтею 263 ЦК за матеріалами прикладу не встановлено. Наведені обставини необхідно звіряти з усіма доказами справи; приховування платежу або іншої події змінить розрахунок.</w:t>
      </w:r>
    </w:p>
    <w:p>
      <w:pPr>
        <w:ind w:firstLine="709"/>
        <w:jc w:val="both"/>
      </w:pPr>
      <w:r>
        <w:t>Позовна давність за описаними умовами спливла до 2 квітня 2020 року — до набрання чинності карантинним продовженням. Пізніші карантинні та воєнні зміни не відновлюють уже спливлий у цьому прикладі строк. Закон № 4434-IX виключив воєнний пункт 19 Прикінцевих та перехідних положень ЦК із 4 вересня 2025 року; ця зміна також не створює нового строку для вимоги, давність за якою вже спливла раніше.</w:t>
      </w:r>
    </w:p>
    <w:p>
      <w:pPr>
        <w:ind w:firstLine="709"/>
        <w:jc w:val="both"/>
      </w:pPr>
      <w:r>
        <w:t>Заява не ґрунтується на твердженні, що сплив давності припинив саме зобов’язання. Прошу спочатку оцінити обґрунтованість вимоги; якщо суд встановить порушене право позивача, застосувати наслідки спливу позовної давності за частинами третьою та четвертою статті 267 ЦК України. За умовами прикладу позивач не навів поважних причин пропуску; якщо такі причини будуть заявлені, вони підлягають окремій оцінці судом за частиною п’ятою цієї статті.</w:t>
      </w:r>
    </w:p>
    <w:p>
      <w:pPr>
        <w:ind w:firstLine="709"/>
        <w:jc w:val="both"/>
      </w:pPr>
      <w:r>
        <w:t xml:space="preserve">Договір і первісна розписка вже містяться у додатках до позову; їхні оригінали перебувають у позивача. Нових письмових доказів, крім доказу направлення цієї заяви, не додаю. Копію заяви з додатком направлено позивачу; підтвердження — </w:t>
      </w:r>
      <w:r>
        <w:rPr>
          <w:i/>
          <w:color w:val="595959"/>
        </w:rPr>
        <w:t>[Доказ надсилання заяви з додатками позивачу]</w:t>
      </w:r>
      <w:r>
        <w:t>.</w:t>
      </w:r>
    </w:p>
    <w:p>
      <w:pPr>
        <w:pStyle w:val="Heading2"/>
        <w:keepNext/>
        <w:spacing w:before="240" w:after="60"/>
        <w:jc w:val="center"/>
      </w:pPr>
      <w:r>
        <w:rPr>
          <w:b/>
          <w:caps/>
          <w:sz w:val="24"/>
          <w:spacing w:val="8"/>
        </w:rPr>
        <w:t>Прошу суд:</w:t>
      </w:r>
    </w:p>
    <w:p>
      <w:pPr>
        <w:tabs>
          <w:tab w:pos="397" w:val="left"/>
        </w:tabs>
        <w:ind w:left="397" w:hanging="397"/>
        <w:jc w:val="both"/>
      </w:pPr>
      <w:r>
        <w:t>1.</w:t>
        <w:tab/>
      </w:r>
      <w:r>
        <w:t>Долучити заяву до матеріалів справи та врахувати її до ухвалення рішення.</w:t>
      </w:r>
    </w:p>
    <w:p>
      <w:pPr>
        <w:tabs>
          <w:tab w:pos="397" w:val="left"/>
        </w:tabs>
        <w:ind w:left="397" w:hanging="397"/>
        <w:jc w:val="both"/>
      </w:pPr>
      <w:r>
        <w:t>2.</w:t>
        <w:tab/>
      </w:r>
      <w:r>
        <w:t xml:space="preserve">Якщо вимогу про стягнення </w:t>
      </w:r>
      <w:r>
        <w:rPr>
          <w:i/>
          <w:color w:val="595959"/>
        </w:rPr>
        <w:t>[Заявлена основна сума позики, грн]</w:t>
      </w:r>
      <w:r>
        <w:t xml:space="preserve"> грн основної суми буде визнано обґрунтованою, застосувати позовну давність і відмовити в її задоволенні у зв’язку зі спливом давності за частиною четвертою статті 267 ЦК України, з оцінкою можливих доводів за частиною п’ятою цієї статті.</w:t>
      </w:r>
    </w:p>
    <w:p>
      <w:pPr>
        <w:keepNext/>
        <w:spacing w:before="120" w:after="40"/>
        <w:ind w:firstLine="0"/>
        <w:jc w:val="left"/>
      </w:pPr>
      <w:r>
        <w:rPr>
          <w:b/>
        </w:rPr>
        <w:t>Додатки:</w:t>
      </w:r>
    </w:p>
    <w:p>
      <w:pPr>
        <w:keepNext/>
        <w:tabs>
          <w:tab w:pos="397" w:val="left"/>
        </w:tabs>
        <w:ind w:left="397" w:hanging="397"/>
        <w:jc w:val="both"/>
      </w:pPr>
      <w:r>
        <w:t>1.</w:t>
        <w:tab/>
      </w:r>
      <w:r>
        <w:t xml:space="preserve">Доказ направлення позивачу копії цієї заяви: </w:t>
      </w:r>
      <w:r>
        <w:rPr>
          <w:i/>
          <w:color w:val="595959"/>
        </w:rPr>
        <w:t>[Доказ надсилання заяви з додатками позивачу]</w:t>
      </w:r>
      <w:r>
        <w:t>.</w:t>
      </w:r>
    </w:p>
    <w:p>
      <w:pPr>
        <w:keepNext/>
        <w:ind w:firstLine="709"/>
        <w:jc w:val="both"/>
      </w:pPr>
      <w:r>
        <w:rPr>
          <w:i/>
          <w:color w:val="595959"/>
        </w:rPr>
        <w:t>[Дата підписання і подання]</w:t>
      </w:r>
      <w:r>
        <w:t xml:space="preserve">. </w:t>
      </w:r>
      <w:r>
        <w:rPr>
          <w:i/>
          <w:color w:val="595959"/>
        </w:rPr>
        <w:t>[Підпис відповідача]</w:t>
      </w:r>
      <w:r>
        <w:t xml:space="preserve"> / </w:t>
      </w:r>
      <w:r>
        <w:rPr>
          <w:i/>
          <w:color w:val="595959"/>
        </w:rPr>
        <w:t>[ПІБ відповідача]</w:t>
      </w:r>
    </w:p>
    <w:p>
      <w:pPr>
        <w:spacing w:before="360"/>
      </w:pPr>
      <w:r>
        <w:rPr>
          <w:color w:val="595959"/>
          <w:sz w:val="18"/>
        </w:rPr>
        <w:t xml:space="preserve">Пояснення та межі застосування: </w:t>
      </w:r>
      <w:hyperlink r:id="rId10">
        <w:r>
          <w:rPr>
            <w:sz w:val="18"/>
          </w:rPr>
          <w:t>https://yuryst-kyiv.com/guides/yak-zaiavyty-pro-splyv-pozovnoi-davnosti</w:t>
        </w:r>
      </w:hyperlink>
    </w:p>
    <w:sectPr w:rsidR="00FC693F" w:rsidRPr="0006063C" w:rsidSect="00034616">
      <w:footerReference w:type="default" r:id="rId9"/>
      <w:pgSz w:w="11906" w:h="16838"/>
      <w:pgMar w:top="1020"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9" w:lineRule="auto"/>
    </w:pPr>
    <w:rPr>
      <w:rFonts w:ascii="Liberation Serif" w:hAnsi="Liberation Serif" w:eastAsia="Liberation Serif" w:cs="Liberation Serif"/>
      <w:color w:val="000000"/>
      <w:sz w:val="23"/>
      <w:lang w:val="uk-U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0"/>
      <w:outlineLvl w:val="0"/>
    </w:pPr>
    <w:rPr>
      <w:rFonts w:ascii="Liberation Serif" w:hAnsi="Liberation Serif" w:eastAsia="Liberation Serif" w:cs="Liberation Serif"/>
      <w:b/>
      <w:bCs/>
      <w:color w:val="000000"/>
      <w:sz w:val="23"/>
      <w:szCs w:val="28"/>
      <w:lang w:val="uk-UA"/>
    </w:rPr>
  </w:style>
  <w:style w:type="paragraph" w:styleId="Heading2">
    <w:name w:val="heading 2"/>
    <w:basedOn w:val="Normal"/>
    <w:next w:val="Normal"/>
    <w:link w:val="Heading2Char"/>
    <w:uiPriority w:val="9"/>
    <w:unhideWhenUsed/>
    <w:qFormat/>
    <w:rsid w:val="00FC693F"/>
    <w:pPr>
      <w:keepNext/>
      <w:keepLines/>
      <w:widowControl/>
      <w:spacing w:before="0" w:after="0"/>
      <w:outlineLvl w:val="1"/>
    </w:pPr>
    <w:rPr>
      <w:rFonts w:ascii="Liberation Serif" w:hAnsi="Liberation Serif" w:eastAsia="Liberation Serif" w:cs="Liberation Serif"/>
      <w:b/>
      <w:bCs/>
      <w:color w:val="000000"/>
      <w:sz w:val="23"/>
      <w:szCs w:val="26"/>
      <w:lang w:val="uk-U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0" w:line="240" w:lineRule="auto" w:before="0"/>
      <w:contextualSpacing/>
    </w:pPr>
    <w:rPr>
      <w:rFonts w:ascii="Liberation Serif" w:hAnsi="Liberation Serif" w:eastAsia="Liberation Serif" w:cs="Liberation Serif"/>
      <w:color w:val="000000"/>
      <w:spacing w:val="5"/>
      <w:kern w:val="28"/>
      <w:sz w:val="23"/>
      <w:szCs w:val="52"/>
      <w:lang w:val="uk-U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before="0" w:after="0"/>
      <w:contextualSpacing/>
    </w:pPr>
    <w:rPr>
      <w:rFonts w:ascii="Liberation Serif" w:hAnsi="Liberation Serif" w:eastAsia="Liberation Serif" w:cs="Liberation Serif"/>
      <w:color w:val="000000"/>
      <w:sz w:val="23"/>
      <w:lang w:val="uk-UA"/>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widowControl/>
      <w:spacing w:line="240" w:lineRule="auto" w:before="0" w:after="0"/>
    </w:pPr>
    <w:rPr>
      <w:rFonts w:ascii="Liberation Serif" w:hAnsi="Liberation Serif" w:eastAsia="Liberation Serif" w:cs="Liberation Serif"/>
      <w:b/>
      <w:bCs/>
      <w:color w:val="000000"/>
      <w:sz w:val="23"/>
      <w:szCs w:val="18"/>
      <w:lang w:val="uk-UA"/>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yuryst-kyiv.com/guides/yak-zaiavyty-pro-splyv-pozovnoi-da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Заява про позовну давність: строк сплив до карантину</dc:title>
  <dc:subject>Educational legal document; not individualized advice</dc:subject>
  <dc:creator/>
  <cp:keywords/>
  <dc:description>generated by python-docx</dc:description>
  <cp:lastModifiedBy/>
  <cp:revision>1</cp:revision>
  <dcterms:created xsi:type="dcterms:W3CDTF">2013-12-23T23:15:00Z</dcterms:created>
  <dcterms:modified xsi:type="dcterms:W3CDTF">2013-12-23T23:15:00Z</dcterms:modified>
  <cp:category/>
  <dc:language>uk-UA</dc:language>
</cp:coreProperties>
</file>