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 і заготовка. Особа, приватні адреси, події та платіжні дані вигадані; справжні посвідчення, квитанції й підписи не відтворюються. Перед використанням перевірте свої обставини та чинну процедуру.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Карта доводів апеляції на вирок: неповне врахування даних про особу</w:t>
      </w:r>
    </w:p>
    <w:p>
      <w:pPr>
        <w:spacing w:after="600"/>
        <w:ind w:left="4819"/>
      </w:pPr>
      <w:r>
        <w:rPr>
          <w:b/>
        </w:rPr>
        <w:t xml:space="preserve">Для: </w:t>
      </w:r>
      <w:r>
        <w:rPr>
          <w:i/>
          <w:color w:val="595959"/>
        </w:rPr>
        <w:t>[Особа, для якої готується карта]</w:t>
      </w:r>
      <w:r>
        <w:t>. Це приватний робочий матеріал для підготовки захисту, не документ для подання до суду.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Карта доводів апеляції на вирок</w:t>
      </w:r>
    </w:p>
    <w:p>
      <w:pPr>
        <w:ind w:firstLine="709"/>
        <w:jc w:val="both"/>
      </w:pPr>
      <w:r>
        <w:rPr>
          <w:b/>
        </w:rPr>
        <w:t xml:space="preserve">Рішення і стартова подія: </w:t>
      </w:r>
      <w:r>
        <w:rPr>
          <w:i/>
          <w:color w:val="595959"/>
        </w:rPr>
        <w:t>[Рішення, дата проголошення та спосіб участі]</w:t>
      </w:r>
      <w:r>
        <w:t xml:space="preserve">. </w:t>
      </w:r>
      <w:r>
        <w:rPr>
          <w:b/>
        </w:rPr>
        <w:t xml:space="preserve">Маршрут подання: </w:t>
      </w:r>
      <w:r>
        <w:rPr>
          <w:i/>
          <w:color w:val="595959"/>
        </w:rPr>
        <w:t>[Перевірені апеляційний суд, суд подання і адреси]</w:t>
      </w:r>
      <w:r>
        <w:t>.</w:t>
      </w:r>
    </w:p>
    <w:p>
      <w:pPr>
        <w:ind w:firstLine="709"/>
        <w:jc w:val="both"/>
      </w:pPr>
      <w:r>
        <w:t>Для звичайного вироку загальний строк апеляції становить тридцять днів від проголошення. Дата підготовки цієї карти не замінює фактичного подання: зберігайте доказ його часу. Інші види рішень, особа під вартою та розгляд без виклику можуть мати інші стартові події; перед розрахунком зіставте ці умови з власними матеріалами.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Один довід: від матеріалу справи до вимоги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Перевірка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Навчальне заповнення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Довід і його межа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[Один довід із прив’язкою до мотивів вироку]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Матеріал, який уже є у справі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[Матеріал справи та де його вже досліджували]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Питання дослідження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[Конкретне клопотання про дослідження і підстава]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Нові матеріали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[Чи є нові докази і чому їх не досліджували раніше]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Вимога для правової перевірки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[Проєкт конкретної законної вимоги для перевірки захисником]</w:t>
            </w:r>
          </w:p>
        </w:tc>
      </w:tr>
    </w:tbl>
    <w:p>
      <w:pPr>
        <w:spacing w:after="0"/>
      </w:pPr>
    </w:p>
    <w:p>
      <w:pPr>
        <w:ind w:firstLine="709"/>
        <w:jc w:val="both"/>
      </w:pPr>
      <w:r>
        <w:t>Не погоджуйте протилежні вимоги одночасно без правового пояснення. Посилання на статтю 414 КПК саме по собі не доводить явної несправедливості покарання; потрібне обґрунтування з повного вироку і матеріалів.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Перед поданням скарги</w:t>
      </w:r>
    </w:p>
    <w:p>
      <w:pPr>
        <w:keepNext/>
        <w:ind w:firstLine="709"/>
        <w:jc w:val="both"/>
      </w:pPr>
      <w:r>
        <w:rPr>
          <w:i/>
          <w:color w:val="595959"/>
        </w:rPr>
        <w:t>[Що треба завершити перед поданням]</w:t>
      </w:r>
      <w:r>
        <w:t>.</w:t>
      </w:r>
    </w:p>
    <w:p>
      <w:pPr>
        <w:keepNext/>
        <w:ind w:firstLine="709"/>
        <w:jc w:val="both"/>
      </w:pPr>
      <w:r>
        <w:t>Стаття 396 КПК вимагає, зокрема, належного адресата, даних апелянта, визначеного рішення, вимог із мотивами та переліку матеріалів. Бажання участі, підпис, повноваження захисника, копії та спосіб подання перевіряються окремо; ця карта їх не засвідчує.</w:t>
      </w:r>
    </w:p>
    <w:p>
      <w:pPr>
        <w:keepNext/>
        <w:ind w:firstLine="709"/>
        <w:jc w:val="both"/>
      </w:pPr>
      <w:r>
        <w:rPr>
          <w:b/>
        </w:rPr>
        <w:t xml:space="preserve">Дата підготовки: </w:t>
      </w:r>
      <w:r>
        <w:rPr>
          <w:i/>
          <w:color w:val="595959"/>
        </w:rPr>
        <w:t>[Дата підготовки карти]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https://yuryst-kyiv.com/guides/yak-podaty-apeliatsiiu-u-kryminalnii-spravi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odaty-apeliatsiiu-u-kryminalnii-sp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доводів апеляції на вирок: неповне врахування даних про особу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