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матеріал із повністю вигаданими обставинами. Не підписуйте і не подавайте його без перевірки фактів, чинних норм, підсудності, реквізитів та додатків. Демонстраційні позначки не є реквізитами реальних документів. Адреси, індекси, власні ідентифікатори, квитанції та підписи є умовними й не можуть використовуватися для ідентифікації або платежу. Суд є реальною установою лише як адресат за прямо заданою навчальною підсудністю. Позитивне рішення про додатковий строк не є свідоцтвом чи прийняттям спадщини: після набрання ним законної сили потрібно подати належну заяву нотаріусу в межах строку, визначеного судом.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7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Позов про додатковий строк прийняття спадщини: документована тривала об’єктивна перешкода</w:t>
      </w:r>
    </w:p>
    <w:p>
      <w:pPr>
        <w:spacing w:after="120"/>
        <w:ind w:left="4819"/>
      </w:pPr>
      <w:r>
        <w:rPr>
          <w:b/>
        </w:rPr>
        <w:t xml:space="preserve">Суд: </w:t>
      </w:r>
      <w:r>
        <w:rPr>
          <w:i/>
          <w:color w:val="595959"/>
        </w:rPr>
        <w:t>[Назва суду після перевірки підсудності та чинних змін її території]</w:t>
      </w:r>
    </w:p>
    <w:p>
      <w:pPr>
        <w:spacing w:after="120"/>
        <w:ind w:left="4819"/>
      </w:pPr>
      <w:r>
        <w:rPr>
          <w:b/>
        </w:rPr>
        <w:t xml:space="preserve">Позивач: </w:t>
      </w:r>
      <w:r>
        <w:rPr>
          <w:i/>
          <w:color w:val="595959"/>
        </w:rPr>
        <w:t>[Повне ім’я позивача]</w:t>
      </w:r>
      <w:r>
        <w:t xml:space="preserve">. </w:t>
      </w:r>
      <w:r>
        <w:rPr>
          <w:i/>
          <w:color w:val="595959"/>
        </w:rPr>
        <w:t>[Адреса з індексом; РНОКПП або належні паспортні дані; відомі контакти та відомості про електронний кабінет позивача]</w:t>
      </w:r>
    </w:p>
    <w:p>
      <w:pPr>
        <w:spacing w:after="600"/>
        <w:ind w:left="4819"/>
      </w:pPr>
      <w:r>
        <w:rPr>
          <w:b/>
        </w:rPr>
        <w:t xml:space="preserve">Відповідач: </w:t>
      </w:r>
      <w:r>
        <w:rPr>
          <w:i/>
          <w:color w:val="595959"/>
        </w:rPr>
        <w:t>[Повне ім’я відповідача]</w:t>
      </w:r>
      <w:r>
        <w:t xml:space="preserve">. </w:t>
      </w:r>
      <w:r>
        <w:rPr>
          <w:i/>
          <w:color w:val="595959"/>
        </w:rPr>
        <w:t>[Зареєстрована адреса відповідача з індексом; відомі ідентифікатори, контакти та відомості про електронний кабінет]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ПОЗОВНА ЗАЯВА про визначення додаткового строку для подання заяви про прийняття спадщини</w:t>
      </w:r>
    </w:p>
    <w:p>
      <w:pPr>
        <w:ind w:firstLine="709"/>
        <w:jc w:val="both"/>
      </w:pPr>
      <w:r>
        <w:rPr>
          <w:i/>
          <w:color w:val="595959"/>
        </w:rPr>
        <w:t>[Повне ім’я спадкодавця, дата смерті, дата її державної реєстрації та докази]</w:t>
      </w:r>
    </w:p>
    <w:p>
      <w:pPr>
        <w:ind w:firstLine="709"/>
        <w:jc w:val="both"/>
      </w:pPr>
      <w:r>
        <w:rPr>
          <w:i/>
          <w:color w:val="595959"/>
        </w:rPr>
        <w:t>[Підстава спадкування, інші спадкоємці та статус кожного]</w:t>
      </w:r>
    </w:p>
    <w:p>
      <w:pPr>
        <w:ind w:firstLine="709"/>
        <w:jc w:val="both"/>
      </w:pPr>
      <w:r>
        <w:rPr>
          <w:i/>
          <w:color w:val="595959"/>
        </w:rPr>
        <w:t>[Склад відомої спадщини, місце відкриття та відсутність нерухомості для обраного сценарію]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Причина пропуску і дії після її припинення</w:t>
      </w:r>
    </w:p>
    <w:p>
      <w:pPr>
        <w:ind w:firstLine="709"/>
        <w:jc w:val="both"/>
      </w:pPr>
      <w:r>
        <w:rPr>
          <w:i/>
          <w:color w:val="595959"/>
        </w:rPr>
        <w:t>[Конкретні об’єктивні перешкоди, увесь істотний період і неможливість законного альтернативного подання]</w:t>
      </w:r>
    </w:p>
    <w:p>
      <w:pPr>
        <w:ind w:firstLine="709"/>
        <w:jc w:val="both"/>
      </w:pPr>
      <w:r>
        <w:rPr>
          <w:i/>
          <w:color w:val="595959"/>
        </w:rPr>
        <w:t>[Дії відразу після припинення перешкод та документи про них]</w:t>
      </w:r>
    </w:p>
    <w:p>
      <w:pPr>
        <w:ind w:firstLine="709"/>
        <w:jc w:val="both"/>
      </w:pPr>
      <w:r>
        <w:rPr>
          <w:i/>
          <w:color w:val="595959"/>
        </w:rPr>
        <w:t>[Звернення по письмову згоду всіх спадкоємців, які прийняли спадщину, та результат]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Обґрунтування способу захисту</w:t>
      </w:r>
    </w:p>
    <w:p>
      <w:pPr>
        <w:ind w:firstLine="709"/>
        <w:jc w:val="both"/>
      </w:pPr>
      <w:r>
        <w:t>Статті 1268–1270 ЦК України визначають прийняття спадщини й застосовний строк, а частина третя статті 1272 дозволяє суду визначити достатній додатковий строк за поважної причини пропуску. Прошу оцінити сукупність доказів об’єктивних істотних труднощів, їхню тривалість і вплив на можливість подати належну заяву. Сама медична назва стану без такого зв’язку не доводить вимогу.</w:t>
      </w:r>
    </w:p>
    <w:p>
      <w:pPr>
        <w:ind w:firstLine="709"/>
        <w:jc w:val="both"/>
      </w:pPr>
      <w:r>
        <w:t>Я не прийняла спадщину шляхом постійного спільного проживання чи іншою передбаченою законом підставою. Смерть зареєстровано через два дні, обставин спеціального пізнішого виникнення права або спадкової трансмісії немає. Відповідачем є спадкоємець, який прийняв спадщину та відмовив у письмовій згоді.</w:t>
      </w:r>
    </w:p>
    <w:p>
      <w:pPr>
        <w:ind w:firstLine="709"/>
        <w:jc w:val="both"/>
      </w:pPr>
      <w:r>
        <w:t xml:space="preserve">Позов подаю за зареєстрованим місцем проживання відповідача за статтею 27 ЦПК України; нерухомого майна у спадщині немає. Прошу визначити додатковий строк тривалістю </w:t>
      </w:r>
      <w:r>
        <w:rPr>
          <w:i/>
          <w:color w:val="595959"/>
        </w:rPr>
        <w:t>[Тривалість додаткового строку, яку просить позивач і обґрунтовує конкретними обставинами]</w:t>
      </w:r>
      <w:r>
        <w:t xml:space="preserve"> з дня набрання рішенням суду законної сили. </w:t>
      </w:r>
      <w:r>
        <w:rPr>
          <w:i/>
          <w:color w:val="595959"/>
        </w:rPr>
        <w:t>[Чому запитуваного додаткового строку достатньо для подання належної заяви]</w:t>
      </w:r>
    </w:p>
    <w:p>
      <w:pPr>
        <w:ind w:firstLine="709"/>
        <w:jc w:val="both"/>
      </w:pPr>
      <w:r>
        <w:t>Обов’язкового досудового порядку звернення з цим позовом не встановлено; спробу отримати згоду за частиною другою статті 1272 ЦК України описано і підтверджено окремо. Заяв про забезпечення позову або доказів до позову не подано. Іншого позову до цього відповідача з тим самим предметом і підставами мною не подано.</w:t>
      </w:r>
    </w:p>
    <w:p>
      <w:pPr>
        <w:ind w:firstLine="709"/>
        <w:jc w:val="both"/>
      </w:pPr>
      <w:r>
        <w:rPr>
          <w:b/>
        </w:rPr>
        <w:t xml:space="preserve">Судові витрати: </w:t>
      </w:r>
      <w:r>
        <w:rPr>
          <w:i/>
          <w:color w:val="595959"/>
        </w:rPr>
        <w:t>[Судовий збір: належна сума або пільга та попередній розрахунок інших витрат]</w:t>
      </w:r>
      <w:r>
        <w:t xml:space="preserve">. Оригінали та матеріали, доступні не в повному обсязі: </w:t>
      </w:r>
      <w:r>
        <w:rPr>
          <w:i/>
          <w:color w:val="595959"/>
        </w:rPr>
        <w:t>[Держателі оригіналів доказів та конкретно відсутні матеріали]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 СУД: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Визначити мені додатковий строк тривалістю </w:t>
      </w:r>
      <w:r>
        <w:rPr>
          <w:i/>
          <w:color w:val="595959"/>
        </w:rPr>
        <w:t>[Тривалість додаткового строку, яку просить позивач і обґрунтовує конкретними обставинами]</w:t>
      </w:r>
      <w:r>
        <w:t xml:space="preserve"> з дня набрання рішенням суду законної сили для подання заяви про прийняття спадщини після смерті спадкодавиці. Позивач: </w:t>
      </w:r>
      <w:r>
        <w:rPr>
          <w:i/>
          <w:color w:val="595959"/>
        </w:rPr>
        <w:t>[Повне ім’я позивача]</w:t>
      </w:r>
      <w:r>
        <w:t xml:space="preserve">. Спадкодавиця: </w:t>
      </w:r>
      <w:r>
        <w:rPr>
          <w:i/>
          <w:color w:val="595959"/>
        </w:rPr>
        <w:t>[Повне ім’я спадкодавця для прохальної частини]</w:t>
      </w:r>
      <w:r>
        <w:t xml:space="preserve">; дата смерті: </w:t>
      </w:r>
      <w:r>
        <w:rPr>
          <w:i/>
          <w:color w:val="595959"/>
        </w:rPr>
        <w:t>[Дата смерті спадкодавця для прохальної частини]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Вирішити питання судових витрат відповідно до закону та поданих підтвердних документів.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>Належні документи про смерть і дату державної реєстрації смерті; документ про родинний зв’язок та право спадкування.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>Відомості про останнє проживання спадкодавця, окреме проживання позивача, відомий склад спадщини та спадкову справу.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Належні медичні документи з датами і конкретним описом обмежень; за потреби — окреме обґрунтоване клопотання щодо доказів, які неможливо отримати самостійно.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>Документ про звернення до нотаріуса та отриману відповідь; наявні підтвердження прийняття спадщини відповідачем.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Звернення по письмову згоду та підтвердження відмови відповідача.</w:t>
      </w:r>
    </w:p>
    <w:p>
      <w:pPr>
        <w:keepNext/>
        <w:tabs>
          <w:tab w:pos="397" w:val="left"/>
        </w:tabs>
        <w:ind w:left="397" w:hanging="397"/>
        <w:jc w:val="both"/>
      </w:pPr>
      <w:r>
        <w:t>6.</w:t>
        <w:tab/>
      </w:r>
      <w:r>
        <w:t>Справжня квитанція про судовий збір або належні документи про застосовну пільгу.</w:t>
      </w:r>
    </w:p>
    <w:p>
      <w:pPr>
        <w:keepNext/>
        <w:tabs>
          <w:tab w:pos="397" w:val="left"/>
        </w:tabs>
        <w:ind w:left="397" w:hanging="397"/>
        <w:jc w:val="both"/>
      </w:pPr>
      <w:r>
        <w:t>7.</w:t>
        <w:tab/>
      </w:r>
      <w:r>
        <w:t>Копії позову і додатків для відповідача за паперового подання; за електронного — належні докази надсилання, коли вони потрібні.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складання і підписання]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[Власноручний підпис або належний електронний підпис і повне ім’я заявника]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https://yuryst-kyiv.com/guides/yak-otrymaty-dodatkovyi-strok-dlia-pryiniattia-spadshchyny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otrymaty-dodatkovyi-strok-dlia-pryiniattia-spadshchy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додатковий строк прийняття спадщини: документована тривала об’єктивна перешкода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