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color w:val="595959"/>
          <w:sz w:val="19"/>
        </w:rPr>
        <w:t>Навчальний приклад із повністю вигаданими особами, приватними адресами та обставинами. Описані докази не створюються цим файлом. Заготовка потребує перевірки фактів і чинних вимог перед використанням; підпис та ідентифікатори справжніх документів не відтворюються.</w:t>
      </w:r>
    </w:p>
    <w:p>
      <w:pPr>
        <w:spacing w:after="20"/>
      </w:pPr>
      <w:r>
        <w:rPr>
          <w:color w:val="595959"/>
          <w:sz w:val="19"/>
        </w:rPr>
        <w:t>Заготовка з іменованими полями · Версія 1 · Українською</w:t>
      </w:r>
    </w:p>
    <w:p>
      <w:pPr>
        <w:pStyle w:val="Title"/>
        <w:spacing w:after="360"/>
        <w:pBdr>
          <w:bottom w:val="single" w:sz="4" w:space="6" w:color="8C8C8C"/>
        </w:pBdr>
      </w:pPr>
      <w:r>
        <w:rPr>
          <w:b/>
          <w:sz w:val="21"/>
        </w:rPr>
        <w:t>Пропозиція співспадкоємцю про узгодження поділу спадщини</w:t>
      </w:r>
    </w:p>
    <w:p>
      <w:pPr>
        <w:spacing w:after="0"/>
        <w:ind w:left="4819"/>
      </w:pPr>
      <w:r>
        <w:rPr>
          <w:b/>
        </w:rPr>
        <w:t xml:space="preserve">Адресат: </w:t>
      </w:r>
      <w:r>
        <w:rPr>
          <w:i/>
          <w:color w:val="595959"/>
        </w:rPr>
        <w:t>[ПІБ співспадкоємця]</w:t>
      </w:r>
      <w:r>
        <w:t>.</w:t>
      </w:r>
    </w:p>
    <w:p>
      <w:pPr>
        <w:spacing w:after="120"/>
        <w:ind w:left="4819"/>
      </w:pPr>
      <w:r>
        <w:rPr>
          <w:b w:val="0"/>
        </w:rPr>
        <w:t xml:space="preserve">Адреса: </w:t>
      </w:r>
      <w:r>
        <w:rPr>
          <w:i/>
          <w:color w:val="595959"/>
        </w:rPr>
        <w:t>[Адреса вручення]</w:t>
      </w:r>
      <w:r>
        <w:t>.</w:t>
      </w:r>
    </w:p>
    <w:p>
      <w:pPr>
        <w:spacing w:after="600"/>
        <w:ind w:left="4819"/>
      </w:pPr>
      <w:r>
        <w:rPr>
          <w:b/>
        </w:rPr>
        <w:t xml:space="preserve">Від: </w:t>
      </w:r>
      <w:r>
        <w:rPr>
          <w:i/>
          <w:color w:val="595959"/>
        </w:rPr>
        <w:t>[ПІБ та адреса]</w:t>
      </w:r>
      <w:r>
        <w:t>.</w:t>
      </w:r>
    </w:p>
    <w:p>
      <w:pPr>
        <w:pStyle w:val="Heading1"/>
        <w:keepNext/>
        <w:spacing w:before="120" w:after="200"/>
        <w:jc w:val="center"/>
      </w:pPr>
      <w:r>
        <w:rPr>
          <w:b/>
          <w:caps/>
          <w:sz w:val="25"/>
          <w:spacing w:val="12"/>
        </w:rPr>
        <w:t>Пропозиція про узгодження поділу спадщини</w:t>
      </w:r>
    </w:p>
    <w:p>
      <w:pPr>
        <w:ind w:firstLine="709"/>
        <w:jc w:val="both"/>
      </w:pPr>
      <w:r>
        <w:t xml:space="preserve">Пропоную узгодити поділ зазначеного нижче спадкового рухомого майна. </w:t>
      </w:r>
      <w:r>
        <w:rPr>
          <w:b/>
        </w:rPr>
        <w:t xml:space="preserve">Спадкодавець і справа: </w:t>
      </w:r>
      <w:r>
        <w:rPr>
          <w:i/>
          <w:color w:val="595959"/>
        </w:rPr>
        <w:t>[ПІБ, дата смерті, стан спадкової справи]</w:t>
      </w:r>
      <w:r>
        <w:t xml:space="preserve">. </w:t>
      </w:r>
      <w:r>
        <w:rPr>
          <w:b/>
        </w:rPr>
        <w:t xml:space="preserve">Підстава та частки: </w:t>
      </w:r>
      <w:r>
        <w:rPr>
          <w:i/>
          <w:color w:val="595959"/>
        </w:rPr>
        <w:t>[Спадкоємці, підстави, частки]</w:t>
      </w:r>
      <w:r>
        <w:t>.</w:t>
      </w:r>
    </w:p>
    <w:p>
      <w:pPr>
        <w:pStyle w:val="Caption"/>
        <w:spacing w:before="120"/>
        <w:jc w:val="center"/>
      </w:pPr>
      <w:r>
        <w:rPr>
          <w:b w:val="0"/>
          <w:i/>
          <w:sz w:val="21"/>
        </w:rPr>
        <w:t>Майно для переговорів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6A6A6"/>
          <w:left w:val="single" w:sz="4" w:color="A6A6A6"/>
          <w:bottom w:val="single" w:sz="4" w:color="A6A6A6"/>
          <w:right w:val="single" w:sz="4" w:color="A6A6A6"/>
          <w:insideH w:val="single" w:sz="4" w:color="A6A6A6"/>
          <w:insideV w:val="single" w:sz="4" w:color="A6A6A6"/>
        </w:tblBorders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b/>
                <w:sz w:val="21"/>
              </w:rPr>
              <w:t>Об’єкт</w:t>
            </w:r>
          </w:p>
        </w:tc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b/>
                <w:sz w:val="21"/>
              </w:rPr>
              <w:t>Джерело та вартість</w:t>
            </w:r>
          </w:p>
        </w:tc>
      </w:tr>
      <w:tr>
        <w:trPr>
          <w:cantSplit/>
        </w:trPr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Річ 1</w:t>
            </w:r>
          </w:p>
        </w:tc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i/>
                <w:color w:val="595959"/>
                <w:sz w:val="21"/>
              </w:rPr>
              <w:t>[Опис речі, належність, погоджена вартість]</w:t>
            </w:r>
          </w:p>
        </w:tc>
      </w:tr>
      <w:tr>
        <w:trPr>
          <w:cantSplit/>
        </w:trPr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Річ 2</w:t>
            </w:r>
          </w:p>
        </w:tc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i/>
                <w:color w:val="595959"/>
                <w:sz w:val="21"/>
              </w:rPr>
              <w:t>[Опис речі, належність, погоджена вартість]</w:t>
            </w:r>
          </w:p>
        </w:tc>
      </w:tr>
    </w:tbl>
    <w:p>
      <w:pPr>
        <w:spacing w:after="0"/>
      </w:pPr>
    </w:p>
    <w:p>
      <w:pPr>
        <w:ind w:firstLine="709"/>
        <w:jc w:val="both"/>
      </w:pPr>
      <w:r>
        <w:t xml:space="preserve">Пропонований розподіл і перевірка часток: </w:t>
      </w:r>
      <w:r>
        <w:rPr>
          <w:i/>
          <w:color w:val="595959"/>
        </w:rPr>
        <w:t>[Розподіл речей зі збереженням вартості часток]</w:t>
      </w:r>
      <w:r>
        <w:t>.</w:t>
      </w:r>
    </w:p>
    <w:p>
      <w:pPr>
        <w:ind w:firstLine="709"/>
        <w:jc w:val="both"/>
      </w:pPr>
      <w:r>
        <w:t>За статтями 1267 і 1278 ЦК України пропоную поділ за вже встановленими частками. Це не відмова від спадщини, зміна черговості чи припинення інших прав.</w:t>
      </w:r>
    </w:p>
    <w:p>
      <w:pPr>
        <w:pStyle w:val="Heading2"/>
        <w:keepNext/>
        <w:spacing w:before="240" w:after="60"/>
        <w:jc w:val="center"/>
      </w:pPr>
      <w:r>
        <w:rPr>
          <w:b/>
          <w:caps/>
          <w:sz w:val="24"/>
          <w:spacing w:val="8"/>
        </w:rPr>
        <w:t>Прошу</w:t>
      </w:r>
    </w:p>
    <w:p>
      <w:pPr>
        <w:tabs>
          <w:tab w:pos="397" w:val="left"/>
        </w:tabs>
        <w:ind w:left="397" w:hanging="397"/>
        <w:jc w:val="both"/>
      </w:pPr>
      <w:r>
        <w:t>1.</w:t>
        <w:tab/>
      </w:r>
      <w:r>
        <w:t>Погодити склад майна, належність спадкодавцю, вартість і розподіл; за незгоди надати власний перелік та обґрунтування.</w:t>
      </w:r>
    </w:p>
    <w:p>
      <w:pPr>
        <w:tabs>
          <w:tab w:pos="397" w:val="left"/>
        </w:tabs>
        <w:ind w:left="397" w:hanging="397"/>
        <w:jc w:val="both"/>
      </w:pPr>
      <w:r>
        <w:t>2.</w:t>
        <w:tab/>
      </w:r>
      <w:r>
        <w:t>До передачі перевірити обтяження, неврахованих спадкоємців, права подружжя та вимоги кредиторів, що впливають на поділ.</w:t>
      </w:r>
    </w:p>
    <w:p>
      <w:pPr>
        <w:tabs>
          <w:tab w:pos="397" w:val="left"/>
        </w:tabs>
        <w:ind w:left="397" w:hanging="397"/>
        <w:jc w:val="both"/>
      </w:pPr>
      <w:r>
        <w:t>3.</w:t>
        <w:tab/>
      </w:r>
      <w:r>
        <w:t>Погодити окремий документ про поділ та акт фактичної передачі з точним описом речей; не вважати мовчання згодою.</w:t>
      </w:r>
    </w:p>
    <w:p>
      <w:pPr>
        <w:ind w:firstLine="709"/>
        <w:jc w:val="both"/>
      </w:pPr>
      <w:r>
        <w:rPr>
          <w:b/>
        </w:rPr>
        <w:t xml:space="preserve">Відповідь: </w:t>
      </w:r>
      <w:r>
        <w:rPr>
          <w:i/>
          <w:color w:val="595959"/>
        </w:rPr>
        <w:t>[Спосіб і дата відповіді]</w:t>
      </w:r>
      <w:r>
        <w:t>. Для нерухомості, транспортних засобів чи зміни часток у них спочатку узгодимо з нотаріусом документ і його форму.</w:t>
      </w:r>
    </w:p>
    <w:p>
      <w:pPr>
        <w:keepNext/>
        <w:spacing w:before="120" w:after="40"/>
        <w:ind w:firstLine="0"/>
        <w:jc w:val="left"/>
      </w:pPr>
      <w:r>
        <w:rPr>
          <w:b/>
        </w:rPr>
        <w:t>Додатки:</w:t>
      </w:r>
    </w:p>
    <w:p>
      <w:pPr>
        <w:keepNext/>
        <w:ind w:firstLine="709"/>
        <w:jc w:val="both"/>
      </w:pPr>
      <w:r>
        <w:rPr>
          <w:i/>
          <w:color w:val="595959"/>
        </w:rPr>
        <w:t>[Додані описи й документи]</w:t>
      </w:r>
      <w:r>
        <w:t>.</w:t>
      </w:r>
    </w:p>
    <w:p>
      <w:pPr>
        <w:keepNext/>
        <w:ind w:firstLine="709"/>
        <w:jc w:val="both"/>
      </w:pPr>
      <w:r>
        <w:rPr>
          <w:b/>
        </w:rPr>
        <w:t xml:space="preserve">Дата і підпис: </w:t>
      </w:r>
      <w:r>
        <w:rPr>
          <w:i/>
          <w:color w:val="595959"/>
        </w:rPr>
        <w:t>[Дата, підпис]</w:t>
      </w:r>
      <w:r>
        <w:t>.</w:t>
      </w:r>
    </w:p>
    <w:p>
      <w:pPr>
        <w:spacing w:before="360"/>
      </w:pPr>
      <w:r>
        <w:rPr>
          <w:color w:val="595959"/>
          <w:sz w:val="18"/>
        </w:rPr>
        <w:t xml:space="preserve">Пояснення та межі застосування: </w:t>
      </w:r>
      <w:hyperlink r:id="rId10">
        <w:r>
          <w:rPr>
            <w:sz w:val="18"/>
          </w:rPr>
          <w:t>https://yuryst-kyiv.com/guides/yak-rozpodilyty-spadshchynu-mizh-spadkoiemtsiamy</w:t>
        </w:r>
      </w:hyperlink>
    </w:p>
    <w:sectPr w:rsidR="00FC693F" w:rsidRPr="0006063C" w:rsidSect="00034616">
      <w:footerReference w:type="default" r:id="rId9"/>
      <w:pgSz w:w="11906" w:h="16838"/>
      <w:pgMar w:top="1020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9" w:lineRule="auto"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0" w:after="0"/>
      <w:outlineLvl w:val="0"/>
    </w:pPr>
    <w:rPr>
      <w:rFonts w:ascii="Liberation Serif" w:hAnsi="Liberation Serif" w:eastAsia="Liberation Serif" w:cs="Liberation Serif"/>
      <w:b/>
      <w:bCs/>
      <w:color w:val="000000"/>
      <w:sz w:val="23"/>
      <w:szCs w:val="28"/>
      <w:lang w:val="uk-U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0" w:after="0"/>
      <w:outlineLvl w:val="1"/>
    </w:pPr>
    <w:rPr>
      <w:rFonts w:ascii="Liberation Serif" w:hAnsi="Liberation Serif" w:eastAsia="Liberation Serif" w:cs="Liberation Serif"/>
      <w:b/>
      <w:bCs/>
      <w:color w:val="000000"/>
      <w:sz w:val="23"/>
      <w:szCs w:val="26"/>
      <w:lang w:val="uk-U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0" w:line="240" w:lineRule="auto" w:before="0"/>
      <w:contextualSpacing/>
    </w:pPr>
    <w:rPr>
      <w:rFonts w:ascii="Liberation Serif" w:hAnsi="Liberation Serif" w:eastAsia="Liberation Serif" w:cs="Liberation Serif"/>
      <w:color w:val="000000"/>
      <w:spacing w:val="5"/>
      <w:kern w:val="28"/>
      <w:sz w:val="23"/>
      <w:szCs w:val="52"/>
      <w:lang w:val="uk-UA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widowControl/>
      <w:numPr>
        <w:numId w:val="5"/>
      </w:numPr>
      <w:spacing w:before="0" w:after="0"/>
      <w:contextualSpacing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/>
      <w:widowControl/>
      <w:spacing w:line="240" w:lineRule="auto" w:before="0" w:after="0"/>
    </w:pPr>
    <w:rPr>
      <w:rFonts w:ascii="Liberation Serif" w:hAnsi="Liberation Serif" w:eastAsia="Liberation Serif" w:cs="Liberation Serif"/>
      <w:b/>
      <w:bCs/>
      <w:color w:val="000000"/>
      <w:sz w:val="23"/>
      <w:szCs w:val="18"/>
      <w:lang w:val="uk-UA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yuryst-kyiv.com/guides/yak-rozpodilyty-spadshchynu-mizh-spadkoiemtsia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Пропозиція співспадкоємцю про узгодження поділу спадщини</dc:title>
  <dc:subject>Educational legal document; not individualized advice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uk-UA</dc:language>
</cp:coreProperties>
</file>