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 заготовка. Особа, приватні адреси, події та платіжні дані вигадані; справжні посвідчення, квитанції й підписи не відтворюються. Перед використанням перевірте свої обставини та чинну процедуру.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Звернення щодо ненадання відповіді на непроцесуальне звернення</w:t>
      </w:r>
    </w:p>
    <w:p>
      <w:pPr>
        <w:spacing w:after="120"/>
        <w:ind w:left="4819"/>
      </w:pPr>
      <w:r>
        <w:rPr>
          <w:b/>
        </w:rPr>
        <w:t xml:space="preserve">Адресат: </w:t>
      </w:r>
      <w:r>
        <w:rPr>
          <w:i/>
          <w:color w:val="595959"/>
        </w:rPr>
        <w:t>[Керівник належного органу прокуратури та адреса]</w:t>
      </w:r>
      <w:r>
        <w:t>.</w:t>
      </w:r>
    </w:p>
    <w:p>
      <w:pPr>
        <w:spacing w:after="0"/>
        <w:ind w:left="4819"/>
      </w:pPr>
      <w:r>
        <w:rPr>
          <w:b/>
        </w:rPr>
        <w:t xml:space="preserve">Заявник: </w:t>
      </w:r>
      <w:r>
        <w:rPr>
          <w:i/>
          <w:color w:val="595959"/>
        </w:rPr>
        <w:t>[ПІБ заявника]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проживання і листування]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Зв’язок: </w:t>
      </w:r>
      <w:r>
        <w:rPr>
          <w:i/>
          <w:color w:val="595959"/>
        </w:rPr>
        <w:t>[Наявні засоби зв’язку]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Звернення щодо ненадання відповіді</w:t>
      </w:r>
    </w:p>
    <w:p>
      <w:pPr>
        <w:ind w:firstLine="709"/>
        <w:jc w:val="both"/>
      </w:pPr>
      <w:r>
        <w:rPr>
          <w:b/>
        </w:rPr>
        <w:t xml:space="preserve">Подання: </w:t>
      </w:r>
      <w:r>
        <w:rPr>
          <w:i/>
          <w:color w:val="595959"/>
        </w:rPr>
        <w:t>[Дата отримання, предмет і доказ первинного звернення]</w:t>
      </w:r>
      <w:r>
        <w:t xml:space="preserve">. </w:t>
      </w:r>
      <w:r>
        <w:rPr>
          <w:b/>
        </w:rPr>
        <w:t xml:space="preserve">Відповідь: </w:t>
      </w:r>
      <w:r>
        <w:rPr>
          <w:i/>
          <w:color w:val="595959"/>
        </w:rPr>
        <w:t>[Що саме не отримано та коли це перевірено]</w:t>
      </w:r>
      <w:r>
        <w:t>.</w:t>
      </w:r>
    </w:p>
    <w:p>
      <w:pPr>
        <w:ind w:firstLine="709"/>
        <w:jc w:val="both"/>
      </w:pPr>
      <w:r>
        <w:t>Це організаційне звернення за Законом України «Про звернення громадян», не питання кримінального провадження за КПК, не перегляд судового рішення і не запит на публічну інформацію.</w:t>
      </w:r>
    </w:p>
    <w:p>
      <w:pPr>
        <w:ind w:firstLine="709"/>
        <w:jc w:val="both"/>
      </w:pPr>
      <w:r>
        <w:rPr>
          <w:b/>
        </w:rPr>
        <w:t xml:space="preserve">Стаття 20 цього Закону: </w:t>
      </w:r>
      <w:r>
        <w:t xml:space="preserve">до місяця; за належного продовження з повідомленням заявника — до 45 днів. </w:t>
      </w:r>
      <w:r>
        <w:rPr>
          <w:b/>
        </w:rPr>
        <w:t xml:space="preserve">Розрахунок: </w:t>
      </w:r>
      <w:r>
        <w:rPr>
          <w:i/>
          <w:color w:val="595959"/>
        </w:rPr>
        <w:t>[Перевірка строку з урахуванням отримання, відповіді, продовження або пересилання]</w:t>
      </w:r>
      <w:r>
        <w:t>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Перевірити реєстрацію й рух звернення; повідомити дату отримання, вхідний номер і відповідальний підрозділ.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Розглянути питання доступного особистого прийому в межах компетенції; надати мотивовану відповідь. Якщо її вже надсилали — надати копію, дату, номер і спосіб відправлення.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У разі пересилання або продовження строку повідомити підставу, дату, адресата й надати копію повідомлення.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>Не передавати скаргу на вирішення посадовій особі, чиї дії чи бездіяльність оскаржуються. Відповідь прошу письмово на зазначену адресу.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[Наявні підтвердження]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нового звернення]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[Власноручний підпис]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https://yuryst-kyiv.com/guides/yak-podaty-zvernennia-do-prokuratury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odaty-zvernennia-do-prokura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Звернення щодо ненадання відповіді на непроцесуальне звернення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