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color w:val="595959"/>
          <w:sz w:val="19"/>
        </w:rPr>
        <w:t>Навчальний приклад. Особи, їхні приватні адреси, номери справ і події прикладу вигадані. Назви та публічні реквізити реальних установ наведено лише для прямо визначених навчальних умов. Демонстраційні ідентифікатори навмисно непридатні для подання. Цей текст не є готовим документом для конкретної справи.</w:t>
      </w:r>
    </w:p>
    <w:p>
      <w:pPr>
        <w:spacing w:after="20"/>
      </w:pPr>
      <w:r>
        <w:rPr>
          <w:color w:val="595959"/>
          <w:sz w:val="19"/>
        </w:rPr>
        <w:t>Заготовка з іменованими полями · Версія 1 · Українською</w:t>
      </w:r>
    </w:p>
    <w:p>
      <w:pPr>
        <w:pStyle w:val="Title"/>
        <w:spacing w:after="360"/>
        <w:pBdr>
          <w:bottom w:val="single" w:sz="4" w:space="6" w:color="8C8C8C"/>
        </w:pBdr>
      </w:pPr>
      <w:r>
        <w:rPr>
          <w:b/>
          <w:sz w:val="21"/>
        </w:rPr>
        <w:t>Досьє до скарги на реєстраційне рішення: акт, право, строк і судові перешкоди</w:t>
      </w:r>
    </w:p>
    <w:p>
      <w:pPr>
        <w:spacing w:after="600"/>
        <w:ind w:left="4819"/>
      </w:pPr>
      <w:r>
        <w:rPr>
          <w:b/>
        </w:rPr>
        <w:t xml:space="preserve">Укладач: </w:t>
      </w:r>
      <w:r>
        <w:rPr>
          <w:i/>
          <w:color w:val="595959"/>
        </w:rPr>
        <w:t>[ПІБ укладача]</w:t>
      </w:r>
      <w:r>
        <w:t>.</w:t>
      </w:r>
    </w:p>
    <w:p>
      <w:pPr>
        <w:pStyle w:val="Heading1"/>
        <w:keepNext/>
        <w:spacing w:before="120" w:after="200"/>
        <w:jc w:val="center"/>
      </w:pPr>
      <w:r>
        <w:rPr>
          <w:b/>
          <w:caps/>
          <w:sz w:val="25"/>
          <w:spacing w:val="12"/>
        </w:rPr>
        <w:t>Досьє до перевірки реєстраційного рішення</w:t>
      </w:r>
    </w:p>
    <w:p>
      <w:pPr>
        <w:ind w:firstLine="709"/>
        <w:jc w:val="both"/>
      </w:pPr>
      <w:r>
        <w:rPr>
          <w:b/>
        </w:rPr>
        <w:t xml:space="preserve">Об’єкт: </w:t>
      </w:r>
      <w:r>
        <w:rPr>
          <w:i/>
          <w:color w:val="595959"/>
        </w:rPr>
        <w:t>[Об’єкт і його ідентифікатори]</w:t>
      </w:r>
      <w:r>
        <w:t>. Мета — зібрати перевірювані відомості для вибору способу захисту; досьє не замінює скаргу.</w:t>
      </w:r>
    </w:p>
    <w:p>
      <w:pPr>
        <w:pStyle w:val="Caption"/>
        <w:spacing w:before="120"/>
        <w:jc w:val="center"/>
      </w:pPr>
      <w:r>
        <w:rPr>
          <w:b w:val="0"/>
          <w:i/>
          <w:sz w:val="21"/>
        </w:rPr>
        <w:t>Порівняння запису та документів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6A6A6"/>
          <w:left w:val="single" w:sz="4" w:color="A6A6A6"/>
          <w:bottom w:val="single" w:sz="4" w:color="A6A6A6"/>
          <w:right w:val="single" w:sz="4" w:color="A6A6A6"/>
          <w:insideH w:val="single" w:sz="4" w:color="A6A6A6"/>
          <w:insideV w:val="single" w:sz="4" w:color="A6A6A6"/>
        </w:tblBorders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b/>
                <w:sz w:val="21"/>
              </w:rPr>
              <w:t>Питання</w:t>
            </w:r>
          </w:p>
        </w:tc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b/>
                <w:sz w:val="21"/>
              </w:rPr>
              <w:t>Відомості та джерело</w:t>
            </w:r>
          </w:p>
        </w:tc>
      </w:tr>
      <w:tr>
        <w:trPr>
          <w:cantSplit/>
        </w:trPr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Власне право</w:t>
            </w:r>
          </w:p>
        </w:tc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[Документ про власне право]</w:t>
            </w:r>
            <w:r>
              <w:rPr>
                <w:sz w:val="21"/>
              </w:rPr>
              <w:t>.</w:t>
            </w:r>
          </w:p>
        </w:tc>
      </w:tr>
      <w:tr>
        <w:trPr>
          <w:cantSplit/>
        </w:trPr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Оскаржуваний акт</w:t>
            </w:r>
          </w:p>
        </w:tc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[Дата, номер і точний вид оскаржуваного акта]</w:t>
            </w:r>
            <w:r>
              <w:rPr>
                <w:sz w:val="21"/>
              </w:rPr>
              <w:t>.</w:t>
            </w:r>
          </w:p>
        </w:tc>
      </w:tr>
      <w:tr>
        <w:trPr>
          <w:cantSplit/>
        </w:trPr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Суб’єкт</w:t>
            </w:r>
          </w:p>
        </w:tc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[Реєстратор і суб’єкт реєстрації]</w:t>
            </w:r>
            <w:r>
              <w:rPr>
                <w:sz w:val="21"/>
              </w:rPr>
              <w:t>.</w:t>
            </w:r>
          </w:p>
        </w:tc>
      </w:tr>
      <w:tr>
        <w:trPr>
          <w:cantSplit/>
        </w:trPr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Що змінилося</w:t>
            </w:r>
          </w:p>
        </w:tc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[Точна розбіжність]</w:t>
            </w:r>
            <w:r>
              <w:rPr>
                <w:sz w:val="21"/>
              </w:rPr>
              <w:t>.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240" w:after="60"/>
        <w:jc w:val="left"/>
      </w:pPr>
      <w:r>
        <w:rPr>
          <w:b/>
          <w:sz w:val="24"/>
        </w:rPr>
        <w:t>Обізнаність і судові обмеження</w:t>
      </w:r>
    </w:p>
    <w:p>
      <w:pPr>
        <w:ind w:firstLine="709"/>
        <w:jc w:val="both"/>
      </w:pPr>
      <w:r>
        <w:rPr>
          <w:i/>
          <w:color w:val="595959"/>
        </w:rPr>
        <w:t>[Дата обізнаності та перевірка ранішого знання]</w:t>
      </w:r>
      <w:r>
        <w:t xml:space="preserve">. </w:t>
      </w:r>
      <w:r>
        <w:rPr>
          <w:b/>
        </w:rPr>
        <w:t xml:space="preserve">Доказ: </w:t>
      </w:r>
      <w:r>
        <w:rPr>
          <w:i/>
          <w:color w:val="595959"/>
        </w:rPr>
        <w:t>[Доказ дати обізнаності]</w:t>
      </w:r>
      <w:r>
        <w:t xml:space="preserve">. </w:t>
      </w:r>
      <w:r>
        <w:rPr>
          <w:b/>
        </w:rPr>
        <w:t xml:space="preserve">Календар: </w:t>
      </w:r>
      <w:r>
        <w:rPr>
          <w:i/>
          <w:color w:val="595959"/>
        </w:rPr>
        <w:t>[Дати й правова норма для окремого календаря]</w:t>
      </w:r>
      <w:r>
        <w:t>.</w:t>
      </w:r>
    </w:p>
    <w:p>
      <w:pPr>
        <w:ind w:firstLine="709"/>
        <w:jc w:val="both"/>
      </w:pPr>
      <w:r>
        <w:rPr>
          <w:b/>
        </w:rPr>
        <w:t xml:space="preserve">Судові дані: </w:t>
      </w:r>
      <w:r>
        <w:rPr>
          <w:i/>
          <w:color w:val="595959"/>
        </w:rPr>
        <w:t>[Судові рішення та провадження]</w:t>
      </w:r>
      <w:r>
        <w:t>. Не позначайте відсутність судового спору як підтверджений факт лише тому, що не знайшли його за одним запитом.</w:t>
      </w:r>
    </w:p>
    <w:p>
      <w:pPr>
        <w:pStyle w:val="Heading2"/>
        <w:keepNext/>
        <w:spacing w:before="240" w:after="60"/>
        <w:jc w:val="left"/>
      </w:pPr>
      <w:r>
        <w:rPr>
          <w:b/>
          <w:sz w:val="24"/>
        </w:rPr>
        <w:t>Що витребувати та перевірити</w:t>
      </w:r>
    </w:p>
    <w:p>
      <w:pPr>
        <w:tabs>
          <w:tab w:pos="397" w:val="left"/>
        </w:tabs>
        <w:ind w:left="397" w:hanging="397"/>
        <w:jc w:val="both"/>
      </w:pPr>
      <w:r>
        <w:t>1.</w:t>
        <w:tab/>
      </w:r>
      <w:r>
        <w:t>Повний текст рішення, актуальну інформацію про запис, документ-підставу та доступні матеріали реєстраційної справи законним способом.</w:t>
      </w:r>
    </w:p>
    <w:p>
      <w:pPr>
        <w:tabs>
          <w:tab w:pos="397" w:val="left"/>
        </w:tabs>
        <w:ind w:left="397" w:hanging="397"/>
        <w:jc w:val="both"/>
      </w:pPr>
      <w:r>
        <w:t>2.</w:t>
        <w:tab/>
      </w:r>
      <w:r>
        <w:t>Чи оскаржується саме державна реєстрація права, інше рішення, дія або бездіяльність; від цього залежить компетенція Мін’юсту або територіального органу.</w:t>
      </w:r>
    </w:p>
    <w:p>
      <w:pPr>
        <w:tabs>
          <w:tab w:pos="397" w:val="left"/>
        </w:tabs>
        <w:ind w:left="397" w:hanging="397"/>
        <w:jc w:val="both"/>
      </w:pPr>
      <w:r>
        <w:t>3.</w:t>
        <w:tab/>
      </w:r>
      <w:r>
        <w:t>Чи пов’язана реєстрація із судовим рішенням і чи існують судові обставини, що виключають адміністративний розгляд; зіставити сторони, предмет, підстави та об’єкт.</w:t>
      </w:r>
    </w:p>
    <w:p>
      <w:pPr>
        <w:tabs>
          <w:tab w:pos="397" w:val="left"/>
        </w:tabs>
        <w:ind w:left="397" w:hanging="397"/>
        <w:jc w:val="both"/>
      </w:pPr>
      <w:r>
        <w:t>4.</w:t>
        <w:tab/>
      </w:r>
      <w:r>
        <w:t>Реквізити, опис порушеного права, обставини, дату обізнаності, підпис, повноваження та докази для майбутньої скарги за чинною статтею 37.</w:t>
      </w:r>
    </w:p>
    <w:p>
      <w:pPr>
        <w:tabs>
          <w:tab w:pos="397" w:val="left"/>
        </w:tabs>
        <w:ind w:left="397" w:hanging="397"/>
        <w:jc w:val="both"/>
      </w:pPr>
      <w:r>
        <w:t>5.</w:t>
        <w:tab/>
      </w:r>
      <w:r>
        <w:t>Офіційну назву, адресу, допустимий канал і правила електронного підписання належного органу безпосередньо перед поданням.</w:t>
      </w:r>
    </w:p>
    <w:p>
      <w:pPr>
        <w:ind w:firstLine="709"/>
        <w:jc w:val="both"/>
      </w:pPr>
      <w:r>
        <w:rPr>
          <w:b/>
        </w:rPr>
        <w:t xml:space="preserve">Робочий висновок: </w:t>
      </w:r>
      <w:r>
        <w:rPr>
          <w:i/>
          <w:color w:val="595959"/>
        </w:rPr>
        <w:t>[Проміжний висновок щодо маршруту]</w:t>
      </w:r>
      <w:r>
        <w:t>. За наявності прогалини не надсилайте цей аркуш як універсальну скаргу; терміново перевірте маршрут і строк.</w:t>
      </w:r>
    </w:p>
    <w:p>
      <w:pPr>
        <w:keepNext/>
        <w:ind w:firstLine="709"/>
        <w:jc w:val="both"/>
      </w:pPr>
      <w:r>
        <w:t>Адміністративний строк не слід вважати поновлюваним через сам факт отримання нових копій. Для судового захисту юрисдикцію, вимоги та строки перевіряють окремо.</w:t>
      </w:r>
    </w:p>
    <w:p>
      <w:pPr>
        <w:keepNext/>
        <w:ind w:firstLine="709"/>
        <w:jc w:val="both"/>
      </w:pPr>
      <w:r>
        <w:rPr>
          <w:b/>
        </w:rPr>
        <w:t xml:space="preserve">Дата оновлення: </w:t>
      </w:r>
      <w:r>
        <w:rPr>
          <w:i/>
          <w:color w:val="595959"/>
        </w:rPr>
        <w:t>[Дата оновлення досьє]</w:t>
      </w:r>
      <w:r>
        <w:t>.</w:t>
      </w:r>
    </w:p>
    <w:p>
      <w:pPr>
        <w:spacing w:before="360"/>
      </w:pPr>
      <w:r>
        <w:rPr>
          <w:color w:val="595959"/>
          <w:sz w:val="18"/>
        </w:rPr>
        <w:t xml:space="preserve">Пояснення та межі застосування: </w:t>
      </w:r>
      <w:hyperlink r:id="rId10">
        <w:r>
          <w:rPr>
            <w:sz w:val="18"/>
          </w:rPr>
          <w:t>https://yuryst-kyiv.com/guides/skarga-na-derzhreiestratora</w:t>
        </w:r>
      </w:hyperlink>
    </w:p>
    <w:sectPr w:rsidR="00FC693F" w:rsidRPr="0006063C" w:rsidSect="00034616">
      <w:footerReference w:type="default" r:id="rId9"/>
      <w:pgSz w:w="11906" w:h="16838"/>
      <w:pgMar w:top="1020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9" w:lineRule="auto"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0" w:after="0"/>
      <w:outlineLvl w:val="0"/>
    </w:pPr>
    <w:rPr>
      <w:rFonts w:ascii="Liberation Serif" w:hAnsi="Liberation Serif" w:eastAsia="Liberation Serif" w:cs="Liberation Serif"/>
      <w:b/>
      <w:bCs/>
      <w:color w:val="000000"/>
      <w:sz w:val="23"/>
      <w:szCs w:val="28"/>
      <w:lang w:val="uk-U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0" w:after="0"/>
      <w:outlineLvl w:val="1"/>
    </w:pPr>
    <w:rPr>
      <w:rFonts w:ascii="Liberation Serif" w:hAnsi="Liberation Serif" w:eastAsia="Liberation Serif" w:cs="Liberation Serif"/>
      <w:b/>
      <w:bCs/>
      <w:color w:val="000000"/>
      <w:sz w:val="23"/>
      <w:szCs w:val="26"/>
      <w:lang w:val="uk-U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0" w:line="240" w:lineRule="auto" w:before="0"/>
      <w:contextualSpacing/>
    </w:pPr>
    <w:rPr>
      <w:rFonts w:ascii="Liberation Serif" w:hAnsi="Liberation Serif" w:eastAsia="Liberation Serif" w:cs="Liberation Serif"/>
      <w:color w:val="000000"/>
      <w:spacing w:val="5"/>
      <w:kern w:val="28"/>
      <w:sz w:val="23"/>
      <w:szCs w:val="52"/>
      <w:lang w:val="uk-UA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widowControl/>
      <w:numPr>
        <w:numId w:val="5"/>
      </w:numPr>
      <w:spacing w:before="0" w:after="0"/>
      <w:contextualSpacing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/>
      <w:widowControl/>
      <w:spacing w:line="240" w:lineRule="auto" w:before="0" w:after="0"/>
    </w:pPr>
    <w:rPr>
      <w:rFonts w:ascii="Liberation Serif" w:hAnsi="Liberation Serif" w:eastAsia="Liberation Serif" w:cs="Liberation Serif"/>
      <w:b/>
      <w:bCs/>
      <w:color w:val="000000"/>
      <w:sz w:val="23"/>
      <w:szCs w:val="18"/>
      <w:lang w:val="uk-UA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yuryst-kyiv.com/guides/skarga-na-derzhreiestrat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Досьє до скарги на реєстраційне рішення: акт, право, строк і судові перешкоди</dc:title>
  <dc:subject>Educational legal document; not individualized advice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uk-UA</dc:language>
</cp:coreProperties>
</file>