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матеріал. Дані прикладу повністю вигадані. Не подавати до органу чи суду як готовий документ.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4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Розбір дорожньої постанови та відео: хронологія і реєстр матеріалів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Робоча картка епізоду</w:t>
      </w:r>
    </w:p>
    <w:p>
      <w:pPr>
        <w:ind w:firstLine="709"/>
        <w:jc w:val="both"/>
      </w:pPr>
      <w:r>
        <w:rPr>
          <w:b/>
        </w:rPr>
        <w:t xml:space="preserve">Ідентифікатор і дата розбору: </w:t>
      </w:r>
      <w:r>
        <w:rPr>
          <w:i/>
          <w:color w:val="595959"/>
        </w:rPr>
        <w:t>[Власний ідентифікатор епізоду та дата розбору]</w:t>
      </w:r>
    </w:p>
    <w:p>
      <w:pPr>
        <w:ind w:firstLine="709"/>
        <w:jc w:val="both"/>
      </w:pPr>
      <w:r>
        <w:t>У заповненому прикладі всі події та позначення вигадані; опис відео заданий умовою, а не отриманий аналізом реального запису. Реальних постанов, відеофайлів, кадрів або підписів цей матеріал не містить. У власній заготовці відокремлюйте наявні копії від матеріалів, про існування яких лише припускаєте.</w:t>
      </w: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1. Точне твердження постанови та отримання копії</w:t>
      </w:r>
    </w:p>
    <w:p>
      <w:pPr>
        <w:ind w:firstLine="709"/>
        <w:jc w:val="both"/>
      </w:pPr>
      <w:r>
        <w:rPr>
          <w:b/>
        </w:rPr>
        <w:t xml:space="preserve">Реквізити й дослівний опис події: </w:t>
      </w:r>
      <w:r>
        <w:rPr>
          <w:i/>
          <w:color w:val="595959"/>
        </w:rPr>
        <w:t>[Номер, дата, джерело копії та точний опис події з постанови]</w:t>
      </w:r>
    </w:p>
    <w:p>
      <w:pPr>
        <w:ind w:firstLine="709"/>
        <w:jc w:val="both"/>
      </w:pPr>
      <w:r>
        <w:rPr>
          <w:b/>
        </w:rPr>
        <w:t xml:space="preserve">Отримання: </w:t>
      </w:r>
      <w:r>
        <w:rPr>
          <w:i/>
          <w:color w:val="595959"/>
        </w:rPr>
        <w:t>[Дата, спосіб отримання та наявне підтвердження; невідоме позначити]</w:t>
      </w: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2. Паспорт запису та межі огляду</w:t>
      </w:r>
    </w:p>
    <w:p>
      <w:pPr>
        <w:ind w:firstLine="709"/>
        <w:jc w:val="both"/>
      </w:pPr>
      <w:r>
        <w:rPr>
          <w:b/>
        </w:rPr>
        <w:t xml:space="preserve">Файл і походження: </w:t>
      </w:r>
      <w:r>
        <w:rPr>
          <w:i/>
          <w:color w:val="595959"/>
        </w:rPr>
        <w:t>[Назва файлу, тривалість, походження, оригінал чи копія, спосіб відтворення]</w:t>
      </w:r>
    </w:p>
    <w:p>
      <w:pPr>
        <w:ind w:firstLine="709"/>
        <w:jc w:val="both"/>
      </w:pPr>
      <w:r>
        <w:rPr>
          <w:b/>
        </w:rPr>
        <w:t xml:space="preserve">Шкала часу: </w:t>
      </w:r>
      <w:r>
        <w:rPr>
          <w:i/>
          <w:color w:val="595959"/>
        </w:rPr>
        <w:t>[Що означають таймкоди; співвідношення з годинником кадру та перевірка точності]</w:t>
      </w:r>
    </w:p>
    <w:p>
      <w:pPr>
        <w:ind w:firstLine="709"/>
        <w:jc w:val="both"/>
      </w:pPr>
      <w:r>
        <w:rPr>
          <w:b/>
        </w:rPr>
        <w:t xml:space="preserve">Кут огляду: </w:t>
      </w:r>
      <w:r>
        <w:rPr>
          <w:i/>
          <w:color w:val="595959"/>
        </w:rPr>
        <w:t>[Розташування камери, що видно та що закрито; відповідність сигналу смузі]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Хронологія перегляду: спостереження окремо від тлумачення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Таймкод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Що спостерігається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Межі висновку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[Перший інтервал запису]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[Спостереження першого інтервалу без правового висновку]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Саме по собі наближення не встановлює сигнал у момент перетину лінії.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[Другий інтервал запису]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[Спостереження другого інтервалу без правового висновку]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Нерухомість і належність сигналу відповідній смузі потребують окремої перевірки.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[Третій інтервал запису]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[Спостереження третього інтервалу без правового висновку]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Початок руху не тотожний видимому моменту перетину стоп-лінії.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[Подальший інтервал запису та пропуски перегляду]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[Подальші спостереження та непереглянуті частини, якщо є]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Опис повної тривалості не є експертним підтвердженням відсутності монтажу.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3. Розбіжності й питання, які залишаються</w:t>
      </w:r>
    </w:p>
    <w:p>
      <w:pPr>
        <w:ind w:firstLine="709"/>
        <w:jc w:val="both"/>
      </w:pPr>
      <w:r>
        <w:rPr>
          <w:i/>
          <w:color w:val="595959"/>
        </w:rPr>
        <w:t>[Зіставлення твердження постанови з конкретними інтервалами; спостереження, припущення й невідоме]</w:t>
      </w: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4. Реєстр матеріалів</w:t>
      </w:r>
    </w:p>
    <w:p>
      <w:pPr>
        <w:ind w:firstLine="709"/>
        <w:jc w:val="both"/>
      </w:pPr>
      <w:r>
        <w:t>У прикладі «наявне за умовою» означає лише склад вигаданого набору, а не додані реальні файли. У заготовці зазначайте фактичну наявність, джерело й дату отримання кожної копії. Похідний кадр не називайте оригіналом запису.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Наявність, походження та прогалини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Позначення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Матеріал і статус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Що показує та чого бракує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R1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[Повна постанова: наявність, джерело, дата отримання]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Фіксує зміст твердження; не замінює перевірку самої події.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R2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[Підтвердження отримання: наявність, джерело, дата]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Відокремлюйте відомості про отримання від оцінки дорожнього епізоду.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V1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[Запис: фактична наявність, назва, оригінал чи копія, джерело й дата отримання]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Відокремлюйте опис походження від перевірки цілісності; не вигадуйте контрольну суму.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V2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[Кадри та витяги: наявність, зв’язок з вихідним файлом, спосіб створення]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Витяги, якщо їх створюватимуть, мають залишатися пов’язаними з повним записом.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M1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[Матеріали поліції: що фактично отримано, а що невідомо]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Неотримання не доводить ані відсутності запису, ані відсутності події.</w:t>
            </w:r>
          </w:p>
        </w:tc>
      </w:tr>
      <w:tr>
        <w:trPr>
          <w:cantSplit/>
        </w:trPr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M2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[Інші джерела для звірки: наявність, походження або прогалина]</w:t>
            </w:r>
          </w:p>
        </w:tc>
        <w:tc>
          <w:tcPr>
            <w:tcW w:type="dxa" w:w="3213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Зазначте, що встановлено щодо відповідного сигналу й точності часу, а що невідомо.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5. Підсумок для професійної оцінки</w:t>
      </w:r>
    </w:p>
    <w:p>
      <w:pPr>
        <w:ind w:firstLine="709"/>
        <w:jc w:val="both"/>
      </w:pPr>
      <w:r>
        <w:rPr>
          <w:i/>
          <w:color w:val="595959"/>
        </w:rPr>
        <w:t>[Що обґрунтовано матеріалами, що не встановлено та що перевірити наступним]</w:t>
      </w:r>
    </w:p>
    <w:p>
      <w:pPr>
        <w:ind w:firstLine="709"/>
        <w:jc w:val="both"/>
      </w:pPr>
      <w:r>
        <w:t>Ця картка впорядковує факти для розмови з юристом. Вона не визначає адресата, спосіб чи строк звернення, вимогу, підставу звільнення від відповідальності або судовий збір. Заповнення картки не зупиняє і не продовжує жодного строку.</w:t>
      </w:r>
    </w:p>
    <w:p>
      <w:pPr>
        <w:pStyle w:val="Heading2"/>
        <w:keepNext/>
        <w:spacing w:before="240" w:after="60"/>
        <w:jc w:val="left"/>
      </w:pPr>
      <w:r>
        <w:rPr>
          <w:b/>
          <w:sz w:val="24"/>
        </w:rPr>
        <w:t>Контекст джерела</w:t>
      </w:r>
    </w:p>
    <w:p>
      <w:pPr>
        <w:keepNext/>
        <w:ind w:firstLine="709"/>
        <w:jc w:val="both"/>
      </w:pPr>
      <w:r>
        <w:t>Наведене офіційне дисциплінарне рішення описує різні оцінки відеоматеріалів у конкретних справах і обговорює мотивування оцінки доказів. Воно не вирішує навчальний епізод і не є універсальним правилом допустимості відео. Чинні норми та процесуальний шлях для конкретної постанови перевіряються окремо.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https://yuryst-kyiv.com/guides/yak-oskarzhyty-administratyvnyi-shtraf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oskarzhyty-administratyvnyi-shtr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Розбір дорожньої постанови та відео: хронологія і реєстр матеріалів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